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342" w:type="dxa"/>
        <w:tblLayout w:type="fixed"/>
        <w:tblLook w:val="0000" w:firstRow="0" w:lastRow="0" w:firstColumn="0" w:lastColumn="0" w:noHBand="0" w:noVBand="0"/>
      </w:tblPr>
      <w:tblGrid>
        <w:gridCol w:w="1350"/>
        <w:gridCol w:w="9180"/>
      </w:tblGrid>
      <w:tr w:rsidR="005E3450" w:rsidRPr="00EF2460" w14:paraId="32AB6E7A" w14:textId="77777777" w:rsidTr="00F14AC9">
        <w:trPr>
          <w:cantSplit/>
          <w:trHeight w:val="831"/>
        </w:trPr>
        <w:tc>
          <w:tcPr>
            <w:tcW w:w="1350" w:type="dxa"/>
            <w:shd w:val="clear" w:color="auto" w:fill="FFFFFF"/>
            <w:vAlign w:val="center"/>
          </w:tcPr>
          <w:p w14:paraId="676C6806" w14:textId="77777777" w:rsidR="005E3450" w:rsidRPr="00EF2460" w:rsidRDefault="005E3450" w:rsidP="009323FF">
            <w:pPr>
              <w:autoSpaceDE w:val="0"/>
              <w:autoSpaceDN w:val="0"/>
              <w:adjustRightInd w:val="0"/>
              <w:jc w:val="center"/>
              <w:rPr>
                <w:rFonts w:cs="Arial"/>
                <w:sz w:val="18"/>
                <w:szCs w:val="18"/>
              </w:rPr>
            </w:pPr>
            <w:r>
              <w:rPr>
                <w:rFonts w:cs="Arial"/>
                <w:noProof/>
                <w:sz w:val="20"/>
              </w:rPr>
              <w:drawing>
                <wp:inline distT="0" distB="0" distL="0" distR="0" wp14:anchorId="40C4BE41" wp14:editId="56C3AB2A">
                  <wp:extent cx="619125" cy="619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9180" w:type="dxa"/>
            <w:shd w:val="clear" w:color="auto" w:fill="FFFFFF"/>
            <w:vAlign w:val="center"/>
          </w:tcPr>
          <w:p w14:paraId="44DF907C" w14:textId="77777777" w:rsidR="005E3450" w:rsidRPr="00A156D4" w:rsidRDefault="005E3450" w:rsidP="009323FF">
            <w:pPr>
              <w:autoSpaceDE w:val="0"/>
              <w:autoSpaceDN w:val="0"/>
              <w:adjustRightInd w:val="0"/>
              <w:rPr>
                <w:rFonts w:cs="Arial"/>
              </w:rPr>
            </w:pPr>
            <w:r w:rsidRPr="00A156D4">
              <w:rPr>
                <w:rFonts w:cs="Arial"/>
              </w:rPr>
              <w:t>MISSOURI DEPARTMENT OF SOCIAL SERVICES</w:t>
            </w:r>
          </w:p>
          <w:p w14:paraId="4FB6CAE0" w14:textId="77777777" w:rsidR="005E3450" w:rsidRPr="00A156D4" w:rsidRDefault="005E3450" w:rsidP="009323FF">
            <w:pPr>
              <w:autoSpaceDE w:val="0"/>
              <w:autoSpaceDN w:val="0"/>
              <w:adjustRightInd w:val="0"/>
              <w:rPr>
                <w:rFonts w:cs="Arial"/>
              </w:rPr>
            </w:pPr>
            <w:r w:rsidRPr="00A156D4">
              <w:rPr>
                <w:rFonts w:cs="Arial"/>
              </w:rPr>
              <w:t>CHILDREN’S DIVISION</w:t>
            </w:r>
          </w:p>
          <w:p w14:paraId="3291C772" w14:textId="77777777" w:rsidR="005E3450" w:rsidRDefault="005E3450" w:rsidP="009323FF">
            <w:pPr>
              <w:autoSpaceDE w:val="0"/>
              <w:autoSpaceDN w:val="0"/>
              <w:adjustRightInd w:val="0"/>
              <w:rPr>
                <w:rFonts w:cs="Arial"/>
                <w:b/>
                <w:bCs/>
              </w:rPr>
            </w:pPr>
            <w:r>
              <w:rPr>
                <w:rFonts w:cs="Arial"/>
                <w:b/>
                <w:bCs/>
              </w:rPr>
              <w:t>Notification of Hazards</w:t>
            </w:r>
          </w:p>
          <w:p w14:paraId="1D9D329D" w14:textId="77777777" w:rsidR="005E3450" w:rsidRPr="00EF2460" w:rsidRDefault="005E3450" w:rsidP="009323FF">
            <w:pPr>
              <w:autoSpaceDE w:val="0"/>
              <w:autoSpaceDN w:val="0"/>
              <w:adjustRightInd w:val="0"/>
              <w:rPr>
                <w:rFonts w:cs="Arial"/>
                <w:b/>
                <w:sz w:val="18"/>
                <w:szCs w:val="18"/>
                <w:u w:val="single"/>
              </w:rPr>
            </w:pPr>
          </w:p>
        </w:tc>
      </w:tr>
    </w:tbl>
    <w:tbl>
      <w:tblPr>
        <w:tblStyle w:val="TableGrid"/>
        <w:tblW w:w="10530" w:type="dxa"/>
        <w:tblInd w:w="-342" w:type="dxa"/>
        <w:tblLook w:val="04A0" w:firstRow="1" w:lastRow="0" w:firstColumn="1" w:lastColumn="0" w:noHBand="0" w:noVBand="1"/>
      </w:tblPr>
      <w:tblGrid>
        <w:gridCol w:w="10530"/>
      </w:tblGrid>
      <w:tr w:rsidR="005E3450" w:rsidRPr="005E3450" w14:paraId="4B25530B" w14:textId="77777777" w:rsidTr="005405E9">
        <w:tc>
          <w:tcPr>
            <w:tcW w:w="10530" w:type="dxa"/>
            <w:vAlign w:val="bottom"/>
          </w:tcPr>
          <w:p w14:paraId="75BA160F" w14:textId="77777777" w:rsidR="00557B6A" w:rsidRDefault="00557B6A" w:rsidP="00705A67">
            <w:pPr>
              <w:rPr>
                <w:rFonts w:eastAsia="Arial Unicode MS" w:cs="Arial"/>
                <w:sz w:val="22"/>
                <w:szCs w:val="22"/>
              </w:rPr>
            </w:pPr>
            <w:r w:rsidRPr="00AC03A2">
              <w:rPr>
                <w:rFonts w:eastAsia="Arial Unicode MS" w:cs="Arial"/>
                <w:sz w:val="22"/>
                <w:szCs w:val="22"/>
              </w:rPr>
              <w:t xml:space="preserve">I/We will maintain said hazardous items </w:t>
            </w:r>
            <w:r w:rsidR="00173636">
              <w:rPr>
                <w:rFonts w:eastAsia="Arial Unicode MS" w:cs="Arial"/>
                <w:sz w:val="22"/>
                <w:szCs w:val="22"/>
              </w:rPr>
              <w:t xml:space="preserve">below if in our household </w:t>
            </w:r>
            <w:r w:rsidRPr="00AC03A2">
              <w:rPr>
                <w:rFonts w:eastAsia="Arial Unicode MS" w:cs="Arial"/>
                <w:sz w:val="22"/>
                <w:szCs w:val="22"/>
              </w:rPr>
              <w:t>in compliance with all applicable city ordinances, state law or regulations, federal law or regulations, and/or Children’s Division policy or regulations.</w:t>
            </w:r>
          </w:p>
          <w:p w14:paraId="7EED322F" w14:textId="77777777" w:rsidR="00705A67" w:rsidRPr="00705A67" w:rsidRDefault="00705A67" w:rsidP="00705A67">
            <w:pPr>
              <w:rPr>
                <w:rFonts w:eastAsia="Arial Unicode MS" w:cs="Arial"/>
                <w:sz w:val="22"/>
                <w:szCs w:val="22"/>
              </w:rPr>
            </w:pPr>
          </w:p>
          <w:p w14:paraId="6CAB3546" w14:textId="77777777" w:rsidR="00557B6A" w:rsidRPr="00705A67" w:rsidRDefault="00A37254" w:rsidP="00705A67">
            <w:pPr>
              <w:pStyle w:val="ListParagraph"/>
              <w:numPr>
                <w:ilvl w:val="0"/>
                <w:numId w:val="1"/>
              </w:numPr>
              <w:spacing w:after="240"/>
              <w:rPr>
                <w:rFonts w:eastAsia="Arial Unicode MS" w:cs="Arial"/>
                <w:sz w:val="22"/>
                <w:szCs w:val="22"/>
              </w:rPr>
            </w:pPr>
            <w:r w:rsidRPr="00705A67">
              <w:rPr>
                <w:rFonts w:eastAsia="Arial Unicode MS" w:cs="Arial"/>
                <w:sz w:val="22"/>
                <w:szCs w:val="22"/>
              </w:rPr>
              <w:t>Swimming Pool</w:t>
            </w:r>
          </w:p>
          <w:p w14:paraId="7F27B689" w14:textId="77777777" w:rsidR="00557B6A" w:rsidRPr="00705A67" w:rsidRDefault="00D113CC" w:rsidP="00705A67">
            <w:pPr>
              <w:pStyle w:val="ListParagraph"/>
              <w:numPr>
                <w:ilvl w:val="0"/>
                <w:numId w:val="1"/>
              </w:numPr>
              <w:spacing w:after="240"/>
              <w:rPr>
                <w:rFonts w:eastAsia="Arial Unicode MS" w:cs="Arial"/>
                <w:sz w:val="22"/>
                <w:szCs w:val="22"/>
              </w:rPr>
            </w:pPr>
            <w:r w:rsidRPr="00705A67">
              <w:rPr>
                <w:rFonts w:eastAsia="Arial Unicode MS" w:cs="Arial"/>
                <w:sz w:val="22"/>
                <w:szCs w:val="22"/>
              </w:rPr>
              <w:t>Trampoline</w:t>
            </w:r>
          </w:p>
          <w:p w14:paraId="3192AC91" w14:textId="77777777" w:rsidR="00D113CC" w:rsidRPr="00705A67" w:rsidRDefault="00112BE0" w:rsidP="00705A67">
            <w:pPr>
              <w:pStyle w:val="ListParagraph"/>
              <w:numPr>
                <w:ilvl w:val="0"/>
                <w:numId w:val="1"/>
              </w:numPr>
              <w:spacing w:after="240"/>
              <w:rPr>
                <w:rFonts w:eastAsia="Arial Unicode MS" w:cs="Arial"/>
                <w:sz w:val="22"/>
                <w:szCs w:val="22"/>
              </w:rPr>
            </w:pPr>
            <w:r w:rsidRPr="00705A67">
              <w:rPr>
                <w:rFonts w:eastAsia="Arial Unicode MS" w:cs="Arial"/>
                <w:sz w:val="22"/>
                <w:szCs w:val="22"/>
              </w:rPr>
              <w:t>Alcohol</w:t>
            </w:r>
          </w:p>
          <w:p w14:paraId="62F307D2" w14:textId="77777777" w:rsidR="00557B6A" w:rsidRPr="00705A67" w:rsidRDefault="00D113CC" w:rsidP="00705A67">
            <w:pPr>
              <w:pStyle w:val="ListParagraph"/>
              <w:numPr>
                <w:ilvl w:val="0"/>
                <w:numId w:val="1"/>
              </w:numPr>
              <w:spacing w:after="240"/>
              <w:rPr>
                <w:rFonts w:eastAsia="Arial Unicode MS" w:cs="Arial"/>
                <w:sz w:val="22"/>
                <w:szCs w:val="22"/>
              </w:rPr>
            </w:pPr>
            <w:r w:rsidRPr="00705A67">
              <w:rPr>
                <w:rFonts w:eastAsia="Arial Unicode MS" w:cs="Arial"/>
                <w:sz w:val="22"/>
                <w:szCs w:val="22"/>
              </w:rPr>
              <w:t>Weapons &amp; Ammunit</w:t>
            </w:r>
            <w:r w:rsidR="00A37254" w:rsidRPr="00705A67">
              <w:rPr>
                <w:rFonts w:eastAsia="Arial Unicode MS" w:cs="Arial"/>
                <w:sz w:val="22"/>
                <w:szCs w:val="22"/>
              </w:rPr>
              <w:t>ion</w:t>
            </w:r>
          </w:p>
          <w:p w14:paraId="207FF8A1" w14:textId="77777777" w:rsidR="00D113CC" w:rsidRPr="00705A67" w:rsidRDefault="00D113CC" w:rsidP="00705A67">
            <w:pPr>
              <w:pStyle w:val="ListParagraph"/>
              <w:numPr>
                <w:ilvl w:val="0"/>
                <w:numId w:val="1"/>
              </w:numPr>
              <w:spacing w:after="240"/>
              <w:rPr>
                <w:rFonts w:eastAsia="Arial Unicode MS" w:cs="Arial"/>
                <w:sz w:val="22"/>
                <w:szCs w:val="22"/>
              </w:rPr>
            </w:pPr>
            <w:r w:rsidRPr="00705A67">
              <w:rPr>
                <w:rFonts w:eastAsia="Arial Unicode MS" w:cs="Arial"/>
                <w:sz w:val="22"/>
                <w:szCs w:val="22"/>
              </w:rPr>
              <w:t>Prescription</w:t>
            </w:r>
            <w:r w:rsidR="0075613B" w:rsidRPr="00705A67">
              <w:rPr>
                <w:rFonts w:eastAsia="Arial Unicode MS" w:cs="Arial"/>
                <w:sz w:val="22"/>
                <w:szCs w:val="22"/>
              </w:rPr>
              <w:t>s</w:t>
            </w:r>
            <w:r w:rsidRPr="00705A67">
              <w:rPr>
                <w:rFonts w:eastAsia="Arial Unicode MS" w:cs="Arial"/>
                <w:sz w:val="22"/>
                <w:szCs w:val="22"/>
              </w:rPr>
              <w:t>, non-prescription</w:t>
            </w:r>
            <w:r w:rsidR="0075613B" w:rsidRPr="00705A67">
              <w:rPr>
                <w:rFonts w:eastAsia="Arial Unicode MS" w:cs="Arial"/>
                <w:sz w:val="22"/>
                <w:szCs w:val="22"/>
              </w:rPr>
              <w:t>s</w:t>
            </w:r>
            <w:r w:rsidRPr="00705A67">
              <w:rPr>
                <w:rFonts w:eastAsia="Arial Unicode MS" w:cs="Arial"/>
                <w:sz w:val="22"/>
                <w:szCs w:val="22"/>
              </w:rPr>
              <w:t xml:space="preserve"> and authorized medicine</w:t>
            </w:r>
          </w:p>
          <w:p w14:paraId="6871FD32" w14:textId="77777777" w:rsidR="007B00B0" w:rsidRPr="00705A67" w:rsidRDefault="005E3450" w:rsidP="00705A67">
            <w:pPr>
              <w:pStyle w:val="ListParagraph"/>
              <w:numPr>
                <w:ilvl w:val="0"/>
                <w:numId w:val="1"/>
              </w:numPr>
              <w:spacing w:after="240"/>
              <w:rPr>
                <w:rFonts w:eastAsia="Arial Unicode MS" w:cs="Arial"/>
                <w:sz w:val="22"/>
                <w:szCs w:val="22"/>
              </w:rPr>
            </w:pPr>
            <w:r w:rsidRPr="00705A67">
              <w:rPr>
                <w:rFonts w:eastAsia="Arial Unicode MS" w:cs="Arial"/>
                <w:sz w:val="22"/>
                <w:szCs w:val="22"/>
              </w:rPr>
              <w:t>Go Kart/ATV/buggy/scooter/other motorized recreational vehicle</w:t>
            </w:r>
          </w:p>
          <w:p w14:paraId="780B56A7" w14:textId="77777777" w:rsidR="004B2E90" w:rsidRPr="00705A67" w:rsidRDefault="00732962" w:rsidP="00705A67">
            <w:pPr>
              <w:pStyle w:val="ListParagraph"/>
              <w:numPr>
                <w:ilvl w:val="0"/>
                <w:numId w:val="1"/>
              </w:numPr>
              <w:spacing w:after="240"/>
              <w:rPr>
                <w:rFonts w:eastAsia="Arial Unicode MS" w:cs="Arial"/>
                <w:sz w:val="22"/>
                <w:szCs w:val="22"/>
              </w:rPr>
            </w:pPr>
            <w:r w:rsidRPr="00705A67">
              <w:rPr>
                <w:rFonts w:eastAsia="Arial Unicode MS" w:cs="Arial"/>
                <w:sz w:val="22"/>
                <w:szCs w:val="22"/>
              </w:rPr>
              <w:t>Parent one is a s</w:t>
            </w:r>
            <w:r w:rsidR="004B2E90" w:rsidRPr="00705A67">
              <w:rPr>
                <w:rFonts w:eastAsia="Arial Unicode MS" w:cs="Arial"/>
                <w:sz w:val="22"/>
                <w:szCs w:val="22"/>
              </w:rPr>
              <w:t xml:space="preserve">moker  Parent two is a smoker  </w:t>
            </w:r>
            <w:r w:rsidR="00CB207B" w:rsidRPr="00705A67">
              <w:rPr>
                <w:rFonts w:eastAsia="Arial Unicode MS" w:cs="Arial"/>
                <w:sz w:val="22"/>
                <w:szCs w:val="22"/>
              </w:rPr>
              <w:t>other individual</w:t>
            </w:r>
            <w:r w:rsidR="004B2E90" w:rsidRPr="00705A67">
              <w:rPr>
                <w:rFonts w:eastAsia="Arial Unicode MS" w:cs="Arial"/>
                <w:sz w:val="22"/>
                <w:szCs w:val="22"/>
              </w:rPr>
              <w:t>(s) in the household smoke</w:t>
            </w:r>
          </w:p>
          <w:p w14:paraId="66084FA8" w14:textId="77777777" w:rsidR="005E3450" w:rsidRPr="00705A67" w:rsidRDefault="002217D2" w:rsidP="00705A67">
            <w:pPr>
              <w:pStyle w:val="ListParagraph"/>
              <w:numPr>
                <w:ilvl w:val="0"/>
                <w:numId w:val="1"/>
              </w:numPr>
              <w:spacing w:after="240"/>
              <w:rPr>
                <w:rFonts w:eastAsia="Arial Unicode MS" w:cs="Arial"/>
                <w:sz w:val="22"/>
                <w:szCs w:val="22"/>
              </w:rPr>
            </w:pPr>
            <w:r w:rsidRPr="00705A67">
              <w:rPr>
                <w:sz w:val="22"/>
                <w:szCs w:val="22"/>
              </w:rPr>
              <w:t>Flammable liquids, matches, cleaning supplies, poisonous materials, and other hazardous items</w:t>
            </w:r>
          </w:p>
          <w:p w14:paraId="67E4DE22" w14:textId="77777777" w:rsidR="005E3450" w:rsidRPr="00956E96" w:rsidRDefault="005E3450" w:rsidP="00F14AC9">
            <w:pPr>
              <w:rPr>
                <w:rFonts w:eastAsia="Arial Unicode MS" w:cs="Arial"/>
                <w:sz w:val="16"/>
                <w:szCs w:val="16"/>
              </w:rPr>
            </w:pPr>
            <w:r w:rsidRPr="00AC03A2">
              <w:rPr>
                <w:rFonts w:eastAsia="Arial Unicode MS" w:cs="Arial"/>
                <w:sz w:val="22"/>
                <w:szCs w:val="22"/>
              </w:rPr>
              <w:t>I am/ We are aware that the above listed items are hazardous and could cause serious injury or death.</w:t>
            </w:r>
          </w:p>
          <w:p w14:paraId="522AB317" w14:textId="77777777" w:rsidR="005E3450" w:rsidRPr="00AC03A2" w:rsidRDefault="005E3450" w:rsidP="00AC03A2">
            <w:pPr>
              <w:spacing w:line="200" w:lineRule="exact"/>
              <w:rPr>
                <w:rFonts w:eastAsia="Arial Unicode MS" w:cs="Arial"/>
                <w:sz w:val="22"/>
                <w:szCs w:val="22"/>
              </w:rPr>
            </w:pPr>
          </w:p>
        </w:tc>
      </w:tr>
      <w:tr w:rsidR="005E3450" w:rsidRPr="005E3450" w14:paraId="742D9805" w14:textId="77777777" w:rsidTr="00F80FF1">
        <w:trPr>
          <w:trHeight w:val="4670"/>
        </w:trPr>
        <w:tc>
          <w:tcPr>
            <w:tcW w:w="10530" w:type="dxa"/>
          </w:tcPr>
          <w:p w14:paraId="71EFB718" w14:textId="77777777" w:rsidR="005E3450" w:rsidRPr="00AC03A2" w:rsidRDefault="005E3450" w:rsidP="00F80FF1">
            <w:pPr>
              <w:spacing w:after="60"/>
              <w:rPr>
                <w:rFonts w:eastAsia="Arial Unicode MS" w:cs="Arial"/>
                <w:sz w:val="22"/>
                <w:szCs w:val="22"/>
              </w:rPr>
            </w:pPr>
            <w:r w:rsidRPr="00AC03A2">
              <w:rPr>
                <w:rFonts w:eastAsia="Arial Unicode MS" w:cs="Arial"/>
                <w:sz w:val="22"/>
                <w:szCs w:val="22"/>
              </w:rPr>
              <w:t>I am/ We are in compliance with the following specific Children’s Division regulations:</w:t>
            </w:r>
          </w:p>
          <w:p w14:paraId="144FF55A" w14:textId="77777777" w:rsidR="00F80FF1" w:rsidRPr="00AC03A2" w:rsidRDefault="005E3450" w:rsidP="00F80FF1">
            <w:pPr>
              <w:spacing w:after="60"/>
              <w:rPr>
                <w:rFonts w:eastAsia="Arial Unicode MS" w:cs="Arial"/>
                <w:sz w:val="22"/>
                <w:szCs w:val="22"/>
              </w:rPr>
            </w:pPr>
            <w:r w:rsidRPr="00AC03A2">
              <w:rPr>
                <w:sz w:val="22"/>
                <w:szCs w:val="22"/>
              </w:rPr>
              <w:t xml:space="preserve">Pursuant to 13 CSR 35-60.030(7)(A), one of the listed minimum qualifications of foster parents is </w:t>
            </w:r>
            <w:proofErr w:type="gramStart"/>
            <w:r w:rsidRPr="00AC03A2">
              <w:rPr>
                <w:sz w:val="22"/>
                <w:szCs w:val="22"/>
              </w:rPr>
              <w:t>that  “</w:t>
            </w:r>
            <w:proofErr w:type="gramEnd"/>
            <w:r w:rsidRPr="00AC03A2">
              <w:rPr>
                <w:sz w:val="22"/>
                <w:szCs w:val="22"/>
              </w:rPr>
              <w:t>Foster parent structures environment so that it is safe and healthy for the child.”</w:t>
            </w:r>
            <w:r w:rsidR="00F80FF1" w:rsidRPr="00AC03A2">
              <w:rPr>
                <w:rFonts w:eastAsia="Arial Unicode MS" w:cs="Arial"/>
                <w:sz w:val="22"/>
                <w:szCs w:val="22"/>
              </w:rPr>
              <w:t xml:space="preserve"> </w:t>
            </w:r>
          </w:p>
          <w:p w14:paraId="5A844B3F" w14:textId="77777777" w:rsidR="00F80FF1" w:rsidRPr="00AC03A2" w:rsidRDefault="005E3450" w:rsidP="00F80FF1">
            <w:pPr>
              <w:spacing w:after="60"/>
              <w:rPr>
                <w:rFonts w:eastAsia="Arial Unicode MS" w:cs="Arial"/>
                <w:sz w:val="22"/>
                <w:szCs w:val="22"/>
              </w:rPr>
            </w:pPr>
            <w:r w:rsidRPr="00AC03A2">
              <w:rPr>
                <w:sz w:val="22"/>
                <w:szCs w:val="22"/>
              </w:rPr>
              <w:t>Pursuant to 13 CSR 35-60.40(1)(B), “The home shall be so constructed, arranged and maintained as to provide adequately for the heal</w:t>
            </w:r>
            <w:r w:rsidR="00CB207B">
              <w:rPr>
                <w:sz w:val="22"/>
                <w:szCs w:val="22"/>
              </w:rPr>
              <w:t>th and safety of all occupants.</w:t>
            </w:r>
            <w:r w:rsidRPr="00AC03A2">
              <w:rPr>
                <w:sz w:val="22"/>
                <w:szCs w:val="22"/>
              </w:rPr>
              <w:t xml:space="preserve"> It shall be of size and space and shall have furnishings and equipment to accommodate comfortably both the foster family and foster children in their care.”</w:t>
            </w:r>
            <w:r w:rsidR="00F80FF1" w:rsidRPr="00AC03A2">
              <w:rPr>
                <w:rFonts w:eastAsia="Arial Unicode MS" w:cs="Arial"/>
                <w:sz w:val="22"/>
                <w:szCs w:val="22"/>
              </w:rPr>
              <w:t xml:space="preserve"> </w:t>
            </w:r>
          </w:p>
          <w:p w14:paraId="204789A7" w14:textId="77777777" w:rsidR="00F80FF1" w:rsidRPr="00AC03A2" w:rsidRDefault="005E3450" w:rsidP="00F80FF1">
            <w:pPr>
              <w:spacing w:after="60"/>
              <w:rPr>
                <w:rFonts w:eastAsia="Arial Unicode MS" w:cs="Arial"/>
                <w:sz w:val="22"/>
                <w:szCs w:val="22"/>
              </w:rPr>
            </w:pPr>
            <w:r w:rsidRPr="00AC03A2">
              <w:rPr>
                <w:sz w:val="22"/>
                <w:szCs w:val="22"/>
              </w:rPr>
              <w:t>Pursuant to 13 CSR 35-60.40(1)(I), “The home shall have space for indoor and play an</w:t>
            </w:r>
            <w:r w:rsidR="00CB207B">
              <w:rPr>
                <w:sz w:val="22"/>
                <w:szCs w:val="22"/>
              </w:rPr>
              <w:t>d access to outdoor play space.</w:t>
            </w:r>
            <w:r w:rsidRPr="00AC03A2">
              <w:rPr>
                <w:sz w:val="22"/>
                <w:szCs w:val="22"/>
              </w:rPr>
              <w:t xml:space="preserve"> The outdoor play space shall be fenced when in the judgment of the division, nearby street traffic, railroad tracks, lake, river, swimming pool, or other potential hazards suggest the necessity for such protection.”</w:t>
            </w:r>
            <w:r w:rsidR="00F80FF1" w:rsidRPr="00AC03A2">
              <w:rPr>
                <w:rFonts w:eastAsia="Arial Unicode MS" w:cs="Arial"/>
                <w:sz w:val="22"/>
                <w:szCs w:val="22"/>
              </w:rPr>
              <w:t xml:space="preserve"> </w:t>
            </w:r>
          </w:p>
          <w:p w14:paraId="7378965E" w14:textId="77777777" w:rsidR="00AC03A2" w:rsidRPr="005405E9" w:rsidRDefault="005E3450" w:rsidP="00F80FF1">
            <w:pPr>
              <w:rPr>
                <w:sz w:val="18"/>
                <w:szCs w:val="18"/>
              </w:rPr>
            </w:pPr>
            <w:r w:rsidRPr="00AC03A2">
              <w:rPr>
                <w:sz w:val="22"/>
                <w:szCs w:val="22"/>
              </w:rPr>
              <w:t xml:space="preserve">Pursuant to 13 CSR 35-60.050(11)(D), “The foster parent(s) shall notify the legal custodian </w:t>
            </w:r>
            <w:r w:rsidRPr="005405E9">
              <w:rPr>
                <w:sz w:val="22"/>
                <w:szCs w:val="22"/>
              </w:rPr>
              <w:t xml:space="preserve">immediately </w:t>
            </w:r>
            <w:r w:rsidRPr="00AC03A2">
              <w:rPr>
                <w:sz w:val="22"/>
                <w:szCs w:val="22"/>
              </w:rPr>
              <w:t>of emergenci</w:t>
            </w:r>
            <w:r w:rsidR="00CB207B">
              <w:rPr>
                <w:sz w:val="22"/>
                <w:szCs w:val="22"/>
              </w:rPr>
              <w:t xml:space="preserve">es involving the foster child. </w:t>
            </w:r>
            <w:r w:rsidRPr="00AC03A2">
              <w:rPr>
                <w:sz w:val="22"/>
                <w:szCs w:val="22"/>
              </w:rPr>
              <w:t>This requirement in no way relieves the foster parent(s) from first taking action, such as obtaining emergency medical treatment for the child before noti</w:t>
            </w:r>
            <w:r w:rsidR="00CB207B">
              <w:rPr>
                <w:sz w:val="22"/>
                <w:szCs w:val="22"/>
              </w:rPr>
              <w:t xml:space="preserve">fying his/her legal custodian. </w:t>
            </w:r>
            <w:r w:rsidRPr="00AC03A2">
              <w:rPr>
                <w:sz w:val="22"/>
                <w:szCs w:val="22"/>
              </w:rPr>
              <w:t>This includes serious illness or injury requiring medical treatment, unauthorized absence from the home or other situations in which sound judgment dictates that the legal custodian be notified.”</w:t>
            </w:r>
          </w:p>
        </w:tc>
      </w:tr>
    </w:tbl>
    <w:p w14:paraId="142DEC08" w14:textId="7E0EE855" w:rsidR="005E3450" w:rsidRPr="002C25DA" w:rsidRDefault="002C25DA" w:rsidP="00356DC1">
      <w:pPr>
        <w:rPr>
          <w:sz w:val="18"/>
          <w:szCs w:val="18"/>
        </w:rPr>
      </w:pPr>
      <w:r w:rsidRPr="002C25DA">
        <w:rPr>
          <w:sz w:val="18"/>
          <w:szCs w:val="18"/>
        </w:rPr>
        <w:t xml:space="preserve">If you are a Veteran in the state of Missouri and are interested in learning more about benefits and resources available to you and your dependents, visit </w:t>
      </w:r>
      <w:hyperlink r:id="rId8" w:tgtFrame="_blank" w:history="1">
        <w:r w:rsidRPr="002C25DA">
          <w:rPr>
            <w:rStyle w:val="Hyperlink"/>
            <w:sz w:val="18"/>
            <w:szCs w:val="18"/>
          </w:rPr>
          <w:t>https://mvc.dps.mo.gov/MoVeteransInformation/Survey/DSS</w:t>
        </w:r>
      </w:hyperlink>
      <w:r w:rsidRPr="002C25DA">
        <w:rPr>
          <w:sz w:val="18"/>
          <w:szCs w:val="18"/>
        </w:rPr>
        <w:t>.</w:t>
      </w:r>
    </w:p>
    <w:sectPr w:rsidR="005E3450" w:rsidRPr="002C25DA" w:rsidSect="00956E96">
      <w:footerReference w:type="default" r:id="rId9"/>
      <w:pgSz w:w="12240" w:h="15840" w:code="1"/>
      <w:pgMar w:top="1152"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9D39" w14:textId="77777777" w:rsidR="00EB3A9E" w:rsidRDefault="00EB3A9E" w:rsidP="00925E1F">
      <w:r>
        <w:separator/>
      </w:r>
    </w:p>
  </w:endnote>
  <w:endnote w:type="continuationSeparator" w:id="0">
    <w:p w14:paraId="3D5A3AF1" w14:textId="77777777" w:rsidR="00EB3A9E" w:rsidRDefault="00EB3A9E" w:rsidP="0092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5B97" w14:textId="7A02167E" w:rsidR="00925E1F" w:rsidRDefault="00925E1F" w:rsidP="00925E1F">
    <w:pPr>
      <w:pStyle w:val="Footer"/>
      <w:jc w:val="right"/>
    </w:pPr>
    <w:r>
      <w:t xml:space="preserve">CD-101 REV </w:t>
    </w:r>
    <w:r w:rsidR="00B652DA">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A4526" w14:textId="77777777" w:rsidR="00EB3A9E" w:rsidRDefault="00EB3A9E" w:rsidP="00925E1F">
      <w:r>
        <w:separator/>
      </w:r>
    </w:p>
  </w:footnote>
  <w:footnote w:type="continuationSeparator" w:id="0">
    <w:p w14:paraId="6D2B43F8" w14:textId="77777777" w:rsidR="00EB3A9E" w:rsidRDefault="00EB3A9E" w:rsidP="00925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4045D"/>
    <w:multiLevelType w:val="hybridMultilevel"/>
    <w:tmpl w:val="8642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96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wr481Q0bBqILQjYeAiwUsopQ3kfErG+QBnMPf6DJ8g32Fq0ic/rkKLnLhcYlG/fMVFN3a87tFoqtSOOthUTOg==" w:salt="r6Eaj1VxzUxJBRF5FHN2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91"/>
    <w:rsid w:val="0006141E"/>
    <w:rsid w:val="00075456"/>
    <w:rsid w:val="00112BE0"/>
    <w:rsid w:val="001420D1"/>
    <w:rsid w:val="00143302"/>
    <w:rsid w:val="001638F0"/>
    <w:rsid w:val="00173636"/>
    <w:rsid w:val="0018516E"/>
    <w:rsid w:val="001D4A14"/>
    <w:rsid w:val="00206B42"/>
    <w:rsid w:val="002217D2"/>
    <w:rsid w:val="002515D8"/>
    <w:rsid w:val="00287C5F"/>
    <w:rsid w:val="002C25DA"/>
    <w:rsid w:val="002D7B75"/>
    <w:rsid w:val="002E583B"/>
    <w:rsid w:val="003119DB"/>
    <w:rsid w:val="003212B8"/>
    <w:rsid w:val="00356DC1"/>
    <w:rsid w:val="003B7D11"/>
    <w:rsid w:val="004872D0"/>
    <w:rsid w:val="004B2E90"/>
    <w:rsid w:val="004E3471"/>
    <w:rsid w:val="0051076B"/>
    <w:rsid w:val="005405E9"/>
    <w:rsid w:val="00557B6A"/>
    <w:rsid w:val="005E3450"/>
    <w:rsid w:val="00705A67"/>
    <w:rsid w:val="00732962"/>
    <w:rsid w:val="007344CD"/>
    <w:rsid w:val="0075613B"/>
    <w:rsid w:val="007754F9"/>
    <w:rsid w:val="007B00B0"/>
    <w:rsid w:val="007B0EAB"/>
    <w:rsid w:val="00856493"/>
    <w:rsid w:val="00913E91"/>
    <w:rsid w:val="00925E1F"/>
    <w:rsid w:val="009429BE"/>
    <w:rsid w:val="00956E96"/>
    <w:rsid w:val="00975BC8"/>
    <w:rsid w:val="009A1DBE"/>
    <w:rsid w:val="00A37254"/>
    <w:rsid w:val="00A67E0B"/>
    <w:rsid w:val="00A874B1"/>
    <w:rsid w:val="00AC03A2"/>
    <w:rsid w:val="00B3086A"/>
    <w:rsid w:val="00B652DA"/>
    <w:rsid w:val="00BA45EC"/>
    <w:rsid w:val="00BD621D"/>
    <w:rsid w:val="00C16D4B"/>
    <w:rsid w:val="00C178E7"/>
    <w:rsid w:val="00C5379A"/>
    <w:rsid w:val="00CB207B"/>
    <w:rsid w:val="00CC35B6"/>
    <w:rsid w:val="00CD0DB3"/>
    <w:rsid w:val="00D113CC"/>
    <w:rsid w:val="00D50709"/>
    <w:rsid w:val="00D87FFD"/>
    <w:rsid w:val="00D90D7B"/>
    <w:rsid w:val="00DD1488"/>
    <w:rsid w:val="00DE3ED3"/>
    <w:rsid w:val="00E03DF8"/>
    <w:rsid w:val="00E37F49"/>
    <w:rsid w:val="00E50F26"/>
    <w:rsid w:val="00EB3A9E"/>
    <w:rsid w:val="00EF4ADA"/>
    <w:rsid w:val="00F14AC9"/>
    <w:rsid w:val="00F45F6D"/>
    <w:rsid w:val="00F567A0"/>
    <w:rsid w:val="00F80FF1"/>
    <w:rsid w:val="00F87C5E"/>
    <w:rsid w:val="00FA11B8"/>
    <w:rsid w:val="00FE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64A6"/>
  <w15:docId w15:val="{3687750C-13C8-4E5B-A0D0-F358DA2A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50"/>
    <w:pPr>
      <w:spacing w:after="0" w:line="240" w:lineRule="auto"/>
    </w:pPr>
    <w:rPr>
      <w:rFonts w:ascii="Arial" w:eastAsia="Times New Roman" w:hAnsi="Arial"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450"/>
    <w:rPr>
      <w:rFonts w:ascii="Tahoma" w:hAnsi="Tahoma" w:cs="Tahoma"/>
      <w:sz w:val="16"/>
      <w:szCs w:val="16"/>
    </w:rPr>
  </w:style>
  <w:style w:type="character" w:customStyle="1" w:styleId="BalloonTextChar">
    <w:name w:val="Balloon Text Char"/>
    <w:basedOn w:val="DefaultParagraphFont"/>
    <w:link w:val="BalloonText"/>
    <w:uiPriority w:val="99"/>
    <w:semiHidden/>
    <w:rsid w:val="005E3450"/>
    <w:rPr>
      <w:rFonts w:ascii="Tahoma" w:eastAsia="Times New Roman" w:hAnsi="Tahoma" w:cs="Tahoma"/>
      <w:color w:val="000000"/>
      <w:sz w:val="16"/>
      <w:szCs w:val="16"/>
    </w:rPr>
  </w:style>
  <w:style w:type="table" w:styleId="TableGrid">
    <w:name w:val="Table Grid"/>
    <w:basedOn w:val="TableNormal"/>
    <w:rsid w:val="005E34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E1F"/>
    <w:pPr>
      <w:tabs>
        <w:tab w:val="center" w:pos="4680"/>
        <w:tab w:val="right" w:pos="9360"/>
      </w:tabs>
    </w:pPr>
  </w:style>
  <w:style w:type="character" w:customStyle="1" w:styleId="HeaderChar">
    <w:name w:val="Header Char"/>
    <w:basedOn w:val="DefaultParagraphFont"/>
    <w:link w:val="Header"/>
    <w:uiPriority w:val="99"/>
    <w:rsid w:val="00925E1F"/>
    <w:rPr>
      <w:rFonts w:ascii="Arial" w:eastAsia="Times New Roman" w:hAnsi="Arial" w:cs="Times New Roman"/>
      <w:color w:val="000000"/>
    </w:rPr>
  </w:style>
  <w:style w:type="paragraph" w:styleId="Footer">
    <w:name w:val="footer"/>
    <w:basedOn w:val="Normal"/>
    <w:link w:val="FooterChar"/>
    <w:uiPriority w:val="99"/>
    <w:unhideWhenUsed/>
    <w:rsid w:val="00925E1F"/>
    <w:pPr>
      <w:tabs>
        <w:tab w:val="center" w:pos="4680"/>
        <w:tab w:val="right" w:pos="9360"/>
      </w:tabs>
    </w:pPr>
  </w:style>
  <w:style w:type="character" w:customStyle="1" w:styleId="FooterChar">
    <w:name w:val="Footer Char"/>
    <w:basedOn w:val="DefaultParagraphFont"/>
    <w:link w:val="Footer"/>
    <w:uiPriority w:val="99"/>
    <w:rsid w:val="00925E1F"/>
    <w:rPr>
      <w:rFonts w:ascii="Arial" w:eastAsia="Times New Roman" w:hAnsi="Arial" w:cs="Times New Roman"/>
      <w:color w:val="000000"/>
    </w:rPr>
  </w:style>
  <w:style w:type="paragraph" w:styleId="ListParagraph">
    <w:name w:val="List Paragraph"/>
    <w:basedOn w:val="Normal"/>
    <w:uiPriority w:val="34"/>
    <w:qFormat/>
    <w:rsid w:val="00705A67"/>
    <w:pPr>
      <w:ind w:left="720"/>
      <w:contextualSpacing/>
    </w:pPr>
  </w:style>
  <w:style w:type="character" w:styleId="Hyperlink">
    <w:name w:val="Hyperlink"/>
    <w:basedOn w:val="DefaultParagraphFont"/>
    <w:uiPriority w:val="99"/>
    <w:unhideWhenUsed/>
    <w:rsid w:val="002C25DA"/>
    <w:rPr>
      <w:color w:val="0000FF" w:themeColor="hyperlink"/>
      <w:u w:val="single"/>
    </w:rPr>
  </w:style>
  <w:style w:type="character" w:styleId="UnresolvedMention">
    <w:name w:val="Unresolved Mention"/>
    <w:basedOn w:val="DefaultParagraphFont"/>
    <w:uiPriority w:val="99"/>
    <w:semiHidden/>
    <w:unhideWhenUsed/>
    <w:rsid w:val="002C2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2423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Notification of Hazards (CD-101)</vt:lpstr>
    </vt:vector>
  </TitlesOfParts>
  <Company>Missouri Department of Social Services</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Hazards (CD-101)</dc:title>
  <dc:creator>McDermit, Randall D</dc:creator>
  <cp:lastModifiedBy>Gifford, Elizabeth</cp:lastModifiedBy>
  <cp:revision>2</cp:revision>
  <dcterms:created xsi:type="dcterms:W3CDTF">2025-04-08T16:08:00Z</dcterms:created>
  <dcterms:modified xsi:type="dcterms:W3CDTF">2025-04-08T16:08:00Z</dcterms:modified>
</cp:coreProperties>
</file>