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9FE0" w14:textId="77777777" w:rsidR="005B13E6" w:rsidRPr="0028242B" w:rsidRDefault="00172A4F" w:rsidP="00941BCF">
      <w:pPr>
        <w:jc w:val="center"/>
        <w:rPr>
          <w:rFonts w:ascii="Arial" w:hAnsi="Arial" w:cs="Arial"/>
          <w:caps/>
          <w:sz w:val="22"/>
          <w:szCs w:val="22"/>
          <w:lang w:val="es-DO"/>
        </w:rPr>
      </w:pPr>
      <w:r>
        <w:rPr>
          <w:rFonts w:ascii="Arial" w:hAnsi="Arial" w:cs="Arial"/>
          <w:caps/>
          <w:sz w:val="22"/>
          <w:szCs w:val="22"/>
          <w:lang w:val=""/>
        </w:rPr>
        <w:t>Autorización de toma de huellas dactilares para padres biológicos</w:t>
      </w:r>
    </w:p>
    <w:p w14:paraId="08922347" w14:textId="5F168175" w:rsidR="005B13E6" w:rsidRPr="0028242B" w:rsidRDefault="00172A4F" w:rsidP="005B13E6">
      <w:pPr>
        <w:spacing w:before="240" w:after="240"/>
        <w:jc w:val="center"/>
        <w:rPr>
          <w:rFonts w:ascii="Arial" w:hAnsi="Arial" w:cs="Arial"/>
          <w:sz w:val="22"/>
          <w:szCs w:val="22"/>
          <w:lang w:val="es-DO"/>
        </w:rPr>
      </w:pPr>
      <w:r>
        <w:rPr>
          <w:rFonts w:ascii="Arial" w:hAnsi="Arial" w:cs="Arial"/>
          <w:sz w:val="22"/>
          <w:szCs w:val="22"/>
          <w:lang w:val=""/>
        </w:rPr>
        <w:fldChar w:fldCharType="begin">
          <w:ffData>
            <w:name w:val="Text6"/>
            <w:enabled/>
            <w:calcOnExit w:val="0"/>
            <w:textInput/>
          </w:ffData>
        </w:fldChar>
      </w:r>
      <w:bookmarkStart w:id="0" w:name="Text6"/>
      <w:r>
        <w:rPr>
          <w:rFonts w:ascii="Arial" w:hAnsi="Arial" w:cs="Arial"/>
          <w:sz w:val="22"/>
          <w:szCs w:val="22"/>
          <w:lang w:val=""/>
        </w:rPr>
        <w:instrText xml:space="preserve"> FORMTEXT </w:instrText>
      </w:r>
      <w:r>
        <w:rPr>
          <w:rFonts w:ascii="Arial" w:hAnsi="Arial" w:cs="Arial"/>
          <w:sz w:val="22"/>
          <w:szCs w:val="22"/>
          <w:lang w:val=""/>
        </w:rPr>
      </w:r>
      <w:r>
        <w:rPr>
          <w:rFonts w:ascii="Arial" w:hAnsi="Arial" w:cs="Arial"/>
          <w:sz w:val="22"/>
          <w:szCs w:val="22"/>
          <w:lang w:val=""/>
        </w:rPr>
        <w:fldChar w:fldCharType="separate"/>
      </w:r>
      <w:r>
        <w:rPr>
          <w:rFonts w:ascii="Arial" w:hAnsi="Arial" w:cs="Arial"/>
          <w:sz w:val="22"/>
          <w:szCs w:val="22"/>
          <w:lang w:val=""/>
        </w:rPr>
        <w:t>     </w:t>
      </w:r>
      <w:r>
        <w:rPr>
          <w:rFonts w:ascii="Arial" w:hAnsi="Arial" w:cs="Arial"/>
          <w:sz w:val="22"/>
          <w:szCs w:val="22"/>
          <w:lang w:val=""/>
        </w:rPr>
        <w:fldChar w:fldCharType="end"/>
      </w:r>
      <w:bookmarkEnd w:id="0"/>
    </w:p>
    <w:p w14:paraId="69601888" w14:textId="77777777" w:rsidR="005B13E6" w:rsidRPr="0028242B" w:rsidRDefault="00172A4F" w:rsidP="005B13E6">
      <w:pPr>
        <w:spacing w:after="240"/>
        <w:rPr>
          <w:rFonts w:ascii="Arial" w:hAnsi="Arial" w:cs="Arial"/>
          <w:sz w:val="22"/>
          <w:szCs w:val="22"/>
          <w:lang w:val="es-DO"/>
        </w:rPr>
      </w:pPr>
      <w:r>
        <w:rPr>
          <w:rFonts w:ascii="Arial" w:hAnsi="Arial" w:cs="Arial"/>
          <w:sz w:val="22"/>
          <w:szCs w:val="22"/>
          <w:lang w:val=""/>
        </w:rPr>
        <w:t>Estimado padre/madre,</w:t>
      </w:r>
    </w:p>
    <w:p w14:paraId="269A0D06" w14:textId="77777777" w:rsidR="005B13E6" w:rsidRPr="0028242B" w:rsidRDefault="00172A4F" w:rsidP="005B13E6">
      <w:pPr>
        <w:spacing w:after="240"/>
        <w:rPr>
          <w:rFonts w:ascii="Arial" w:hAnsi="Arial" w:cs="Arial"/>
          <w:sz w:val="22"/>
          <w:szCs w:val="22"/>
          <w:lang w:val="es-DO"/>
        </w:rPr>
      </w:pPr>
      <w:r>
        <w:rPr>
          <w:rFonts w:ascii="Arial" w:hAnsi="Arial" w:cs="Arial"/>
          <w:sz w:val="22"/>
          <w:szCs w:val="22"/>
          <w:lang w:val=""/>
        </w:rPr>
        <w:t xml:space="preserve">Esta carta es en referencia a su solicitud de verificación de antecedentes penales.  </w:t>
      </w:r>
      <w:r>
        <w:rPr>
          <w:rFonts w:ascii="Arial" w:hAnsi="Arial" w:cs="Arial"/>
          <w:b/>
          <w:bCs/>
          <w:sz w:val="22"/>
          <w:szCs w:val="22"/>
          <w:lang w:val=""/>
        </w:rPr>
        <w:t xml:space="preserve">EL COSTO DE ESTE PROCESO LO PAGA USTED EN EL MOMENTO EN QUE SE RECOGEN LAS IMPRESIONES.  </w:t>
      </w:r>
      <w:r>
        <w:rPr>
          <w:rFonts w:ascii="Arial" w:hAnsi="Arial" w:cs="Arial"/>
          <w:sz w:val="22"/>
          <w:szCs w:val="22"/>
          <w:lang w:val=""/>
        </w:rPr>
        <w:t>El Proyecto de Ley 1453 de la Cámara de Representantes, que se aprobó durante la sesión legislativa de 2004, impide que la División de Niños reúna a cualquier niño con un padre que, o en un hogar donde un miembro del hogar, haya sido condenado por cargos criminales específicos.  Para garantizar que ni usted ni nadie en su hogar haya sido condenado por uno de estos delitos, la División solicita una verificación de antecedentes penales del FBI sobre usted y todos los miembros adultos del hogar.</w:t>
      </w:r>
    </w:p>
    <w:p w14:paraId="7EF25D11" w14:textId="77777777" w:rsidR="005B13E6" w:rsidRPr="0028242B" w:rsidRDefault="00172A4F" w:rsidP="005B13E6">
      <w:pPr>
        <w:spacing w:after="240"/>
        <w:rPr>
          <w:rFonts w:ascii="Arial" w:hAnsi="Arial" w:cs="Arial"/>
          <w:sz w:val="22"/>
          <w:szCs w:val="22"/>
          <w:lang w:val="es-DO"/>
        </w:rPr>
      </w:pPr>
      <w:r>
        <w:rPr>
          <w:rFonts w:ascii="Arial" w:hAnsi="Arial" w:cs="Arial"/>
          <w:sz w:val="22"/>
          <w:szCs w:val="22"/>
          <w:lang w:val=""/>
        </w:rPr>
        <w:t xml:space="preserve">Es necesario registrarse en el sitio web de Antecedentes Penales Automatizados de la Patrulla de Carreteras de Missouri, MACHS, </w:t>
      </w:r>
      <w:hyperlink r:id="rId7" w:history="1">
        <w:r w:rsidR="005B13E6">
          <w:rPr>
            <w:rStyle w:val="Hyperlink"/>
            <w:rFonts w:ascii="Arial" w:hAnsi="Arial" w:cs="Arial"/>
            <w:sz w:val="22"/>
            <w:szCs w:val="22"/>
            <w:lang w:val=""/>
          </w:rPr>
          <w:t>www.machs.mo.gov.</w:t>
        </w:r>
      </w:hyperlink>
      <w:r>
        <w:rPr>
          <w:rFonts w:ascii="Arial" w:hAnsi="Arial" w:cs="Arial"/>
          <w:sz w:val="22"/>
          <w:szCs w:val="22"/>
          <w:lang w:val=""/>
        </w:rPr>
        <w:t xml:space="preserve"> El registro requiere un número de registro único de 4 dígitos.  El trabajador de la División de Niños le proporcionará el número que se encuentra en el recuadro al final de esta carta.</w:t>
      </w:r>
    </w:p>
    <w:p w14:paraId="32E956BA" w14:textId="77777777" w:rsidR="005B13E6" w:rsidRPr="0028242B" w:rsidRDefault="00172A4F" w:rsidP="005B13E6">
      <w:pPr>
        <w:rPr>
          <w:rFonts w:ascii="Arial" w:hAnsi="Arial" w:cs="Arial"/>
          <w:sz w:val="22"/>
          <w:szCs w:val="22"/>
          <w:lang w:val="es-DO"/>
        </w:rPr>
      </w:pPr>
      <w:r>
        <w:rPr>
          <w:rFonts w:ascii="Arial" w:hAnsi="Arial" w:cs="Arial"/>
          <w:sz w:val="22"/>
          <w:szCs w:val="22"/>
          <w:lang w:val=""/>
        </w:rPr>
        <w:t>Si no tiene acceso a Internet, puede comunicarse con el proveedor de huellas dactilares electrónicas, IdentoGO, directamente al (844) 543-9712 para que un representante de servicios de huellas dactilares realice el registro en su nombre.</w:t>
      </w:r>
    </w:p>
    <w:p w14:paraId="3CB0F9A8" w14:textId="77777777" w:rsidR="005B13E6" w:rsidRPr="0028242B" w:rsidRDefault="005B13E6" w:rsidP="005B13E6">
      <w:pPr>
        <w:rPr>
          <w:rFonts w:ascii="Arial" w:hAnsi="Arial" w:cs="Arial"/>
          <w:sz w:val="22"/>
          <w:szCs w:val="22"/>
          <w:lang w:val="es-DO"/>
        </w:rPr>
      </w:pPr>
    </w:p>
    <w:p w14:paraId="6C6684EF" w14:textId="77777777" w:rsidR="005B13E6" w:rsidRPr="0028242B" w:rsidRDefault="00172A4F" w:rsidP="005B13E6">
      <w:pPr>
        <w:spacing w:after="240"/>
        <w:rPr>
          <w:rFonts w:ascii="Arial" w:hAnsi="Arial" w:cs="Arial"/>
          <w:sz w:val="22"/>
          <w:szCs w:val="22"/>
          <w:lang w:val="es-DO"/>
        </w:rPr>
      </w:pPr>
      <w:r>
        <w:rPr>
          <w:rFonts w:ascii="Arial" w:hAnsi="Arial" w:cs="Arial"/>
          <w:sz w:val="22"/>
          <w:szCs w:val="22"/>
          <w:lang w:val=""/>
        </w:rPr>
        <w:t>Después de confirmar su cita, se le proporcionará un código de autorización único y toda la información de la cita. Si es posible, imprima esta página o anote el TCN y la información de la cita.</w:t>
      </w:r>
    </w:p>
    <w:p w14:paraId="3406BC09" w14:textId="77777777" w:rsidR="005B13E6" w:rsidRPr="0028242B" w:rsidRDefault="00172A4F" w:rsidP="005B13E6">
      <w:pPr>
        <w:spacing w:after="480"/>
        <w:rPr>
          <w:rFonts w:ascii="Arial" w:hAnsi="Arial" w:cs="Arial"/>
          <w:sz w:val="22"/>
          <w:szCs w:val="22"/>
          <w:lang w:val="es-DO"/>
        </w:rPr>
      </w:pPr>
      <w:r>
        <w:rPr>
          <w:rFonts w:ascii="Arial" w:hAnsi="Arial" w:cs="Arial"/>
          <w:sz w:val="22"/>
          <w:szCs w:val="22"/>
          <w:lang w:val=""/>
        </w:rPr>
        <w:t>Necesitará traer a la cita una identificación con fotografía emitida por el gobierno.  Las formas de identificación aceptables son una licencia de conducir vigente, una tarjeta de identificación estatal vigente, un pasaporte y una tarjeta de identificación militar.</w:t>
      </w:r>
    </w:p>
    <w:p w14:paraId="01687ED0" w14:textId="77777777" w:rsidR="005B13E6" w:rsidRDefault="00172A4F" w:rsidP="005B13E6">
      <w:pPr>
        <w:rPr>
          <w:rFonts w:ascii="Arial" w:hAnsi="Arial" w:cs="Arial"/>
          <w:sz w:val="22"/>
          <w:szCs w:val="22"/>
        </w:rPr>
      </w:pPr>
      <w:r>
        <w:rPr>
          <w:rFonts w:ascii="Arial" w:hAnsi="Arial" w:cs="Arial"/>
          <w:sz w:val="22"/>
          <w:szCs w:val="22"/>
          <w:lang w:val=""/>
        </w:rPr>
        <w:t>Atentamente,</w:t>
      </w:r>
    </w:p>
    <w:p w14:paraId="20D5A75D" w14:textId="77777777" w:rsidR="005B13E6" w:rsidRDefault="005B13E6" w:rsidP="005B13E6">
      <w:pPr>
        <w:rPr>
          <w:rFonts w:ascii="Arial" w:hAnsi="Arial" w:cs="Arial"/>
          <w:sz w:val="22"/>
          <w:szCs w:val="22"/>
        </w:rPr>
      </w:pPr>
    </w:p>
    <w:p w14:paraId="3F825E4C" w14:textId="77777777" w:rsidR="006277D2" w:rsidRDefault="006277D2" w:rsidP="005B13E6">
      <w:pPr>
        <w:rPr>
          <w:rFonts w:ascii="Arial" w:hAnsi="Arial" w:cs="Arial"/>
          <w:sz w:val="22"/>
          <w:szCs w:val="22"/>
        </w:rPr>
      </w:pPr>
    </w:p>
    <w:tbl>
      <w:tblPr>
        <w:tblStyle w:val="TableGrid"/>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5148"/>
      </w:tblGrid>
      <w:tr w:rsidR="00FA20FC" w14:paraId="4A7E3731" w14:textId="77777777" w:rsidTr="00AD3758">
        <w:tc>
          <w:tcPr>
            <w:tcW w:w="5148" w:type="dxa"/>
          </w:tcPr>
          <w:p w14:paraId="076861D7" w14:textId="3679F05B" w:rsidR="005B13E6" w:rsidRPr="005B7202" w:rsidRDefault="00172A4F" w:rsidP="005B13E6">
            <w:pPr>
              <w:rPr>
                <w:rFonts w:ascii="Arial" w:hAnsi="Arial" w:cs="Arial"/>
                <w:b/>
                <w:sz w:val="22"/>
                <w:szCs w:val="22"/>
              </w:rPr>
            </w:pPr>
            <w:r>
              <w:rPr>
                <w:rFonts w:ascii="Arial" w:hAnsi="Arial" w:cs="Arial"/>
                <w:b/>
                <w:bCs/>
                <w:sz w:val="22"/>
                <w:szCs w:val="22"/>
                <w:lang w:val=""/>
              </w:rPr>
              <w:t xml:space="preserve">Número de registro:  </w:t>
            </w:r>
            <w:bookmarkStart w:id="1" w:name="Text7"/>
            <w:r>
              <w:rPr>
                <w:rFonts w:ascii="Arial" w:hAnsi="Arial" w:cs="Arial"/>
                <w:b/>
                <w:bCs/>
                <w:sz w:val="22"/>
                <w:szCs w:val="22"/>
                <w:lang w:val=""/>
              </w:rPr>
              <w:fldChar w:fldCharType="begin">
                <w:ffData>
                  <w:name w:val="Text7"/>
                  <w:enabled/>
                  <w:calcOnExit w:val="0"/>
                  <w:textInput>
                    <w:maxLength w:val="4"/>
                  </w:textInput>
                </w:ffData>
              </w:fldChar>
            </w:r>
            <w:r>
              <w:rPr>
                <w:rFonts w:ascii="Arial" w:hAnsi="Arial" w:cs="Arial"/>
                <w:b/>
                <w:bCs/>
                <w:sz w:val="22"/>
                <w:szCs w:val="22"/>
                <w:lang w:val=""/>
              </w:rPr>
              <w:instrText xml:space="preserve"> FORMTEXT </w:instrText>
            </w:r>
            <w:r>
              <w:rPr>
                <w:rFonts w:ascii="Arial" w:hAnsi="Arial" w:cs="Arial"/>
                <w:b/>
                <w:bCs/>
                <w:sz w:val="22"/>
                <w:szCs w:val="22"/>
                <w:lang w:val=""/>
              </w:rPr>
            </w:r>
            <w:r>
              <w:rPr>
                <w:rFonts w:ascii="Arial" w:hAnsi="Arial" w:cs="Arial"/>
                <w:b/>
                <w:bCs/>
                <w:sz w:val="22"/>
                <w:szCs w:val="22"/>
                <w:lang w:val=""/>
              </w:rPr>
              <w:fldChar w:fldCharType="separate"/>
            </w:r>
            <w:r w:rsidR="00431E9B">
              <w:rPr>
                <w:rFonts w:ascii="Arial" w:hAnsi="Arial" w:cs="Arial"/>
                <w:b/>
                <w:bCs/>
                <w:sz w:val="22"/>
                <w:szCs w:val="22"/>
                <w:lang w:val=""/>
              </w:rPr>
              <w:t> </w:t>
            </w:r>
            <w:r w:rsidR="00431E9B">
              <w:rPr>
                <w:rFonts w:ascii="Arial" w:hAnsi="Arial" w:cs="Arial"/>
                <w:b/>
                <w:bCs/>
                <w:sz w:val="22"/>
                <w:szCs w:val="22"/>
                <w:lang w:val=""/>
              </w:rPr>
              <w:t> </w:t>
            </w:r>
            <w:r w:rsidR="00431E9B">
              <w:rPr>
                <w:rFonts w:ascii="Arial" w:hAnsi="Arial" w:cs="Arial"/>
                <w:b/>
                <w:bCs/>
                <w:sz w:val="22"/>
                <w:szCs w:val="22"/>
                <w:lang w:val=""/>
              </w:rPr>
              <w:t> </w:t>
            </w:r>
            <w:r w:rsidR="00431E9B">
              <w:rPr>
                <w:rFonts w:ascii="Arial" w:hAnsi="Arial" w:cs="Arial"/>
                <w:b/>
                <w:bCs/>
                <w:sz w:val="22"/>
                <w:szCs w:val="22"/>
                <w:lang w:val=""/>
              </w:rPr>
              <w:t> </w:t>
            </w:r>
            <w:r>
              <w:rPr>
                <w:rFonts w:ascii="Arial" w:hAnsi="Arial" w:cs="Arial"/>
                <w:sz w:val="22"/>
                <w:szCs w:val="22"/>
                <w:lang w:val=""/>
              </w:rPr>
              <w:fldChar w:fldCharType="end"/>
            </w:r>
            <w:bookmarkEnd w:id="1"/>
          </w:p>
        </w:tc>
      </w:tr>
    </w:tbl>
    <w:p w14:paraId="67183495" w14:textId="77777777" w:rsidR="00941BCF" w:rsidRDefault="00941BCF" w:rsidP="005B13E6">
      <w:pPr>
        <w:spacing w:before="1560" w:after="240"/>
        <w:rPr>
          <w:rFonts w:ascii="Arial" w:hAnsi="Arial" w:cs="Arial"/>
          <w:b/>
          <w:sz w:val="22"/>
          <w:szCs w:val="22"/>
        </w:rPr>
      </w:pPr>
    </w:p>
    <w:p w14:paraId="26A6138B" w14:textId="77777777" w:rsidR="00374CEE" w:rsidRDefault="00374CEE" w:rsidP="00374CEE">
      <w:pPr>
        <w:tabs>
          <w:tab w:val="left" w:pos="9450"/>
        </w:tabs>
        <w:rPr>
          <w:rFonts w:ascii="Arial" w:hAnsi="Arial" w:cs="Arial"/>
          <w:sz w:val="22"/>
          <w:szCs w:val="22"/>
        </w:rPr>
      </w:pPr>
    </w:p>
    <w:p w14:paraId="4C48860D" w14:textId="77777777" w:rsidR="005B13E6" w:rsidRPr="0028242B" w:rsidRDefault="00172A4F" w:rsidP="00374CEE">
      <w:pPr>
        <w:tabs>
          <w:tab w:val="left" w:pos="9450"/>
        </w:tabs>
        <w:rPr>
          <w:rFonts w:ascii="Arial" w:hAnsi="Arial" w:cs="Arial"/>
          <w:sz w:val="22"/>
          <w:szCs w:val="22"/>
          <w:lang w:val="es-DO"/>
        </w:rPr>
      </w:pPr>
      <w:r>
        <w:rPr>
          <w:rFonts w:ascii="Arial" w:hAnsi="Arial" w:cs="Arial"/>
          <w:b/>
          <w:bCs/>
          <w:sz w:val="22"/>
          <w:szCs w:val="22"/>
          <w:lang w:val=""/>
        </w:rPr>
        <w:t>Derechos de privacidad de los solicitantes de justicia no penal</w:t>
      </w:r>
    </w:p>
    <w:p w14:paraId="154B704D" w14:textId="77777777" w:rsidR="005B13E6" w:rsidRPr="0028242B" w:rsidRDefault="00172A4F" w:rsidP="005B13E6">
      <w:pPr>
        <w:pStyle w:val="Default"/>
        <w:spacing w:after="240"/>
        <w:rPr>
          <w:rFonts w:ascii="Arial" w:hAnsi="Arial" w:cs="Arial"/>
          <w:sz w:val="22"/>
          <w:szCs w:val="22"/>
          <w:lang w:val="es-DO"/>
        </w:rPr>
      </w:pPr>
      <w:r>
        <w:rPr>
          <w:rFonts w:ascii="Arial" w:hAnsi="Arial" w:cs="Arial"/>
          <w:sz w:val="22"/>
          <w:szCs w:val="22"/>
          <w:lang w:val=""/>
        </w:rPr>
        <w:t xml:space="preserve">Como solicitante que es objeto de una verificación de antecedentes penales basada en huellas dactilares a nivel nacional para un propósito no relacionado con la justicia penal (como una solicitud de empleo o licencia, un asunto de inmigración o naturalización, una autorización de seguridad o una adopción), usted tiene ciertos derechos que se analizan a continuación. </w:t>
      </w:r>
    </w:p>
    <w:p w14:paraId="0A1FE9B5" w14:textId="77777777" w:rsidR="005B13E6" w:rsidRPr="0028242B" w:rsidRDefault="00172A4F" w:rsidP="005B13E6">
      <w:pPr>
        <w:pStyle w:val="Default"/>
        <w:numPr>
          <w:ilvl w:val="0"/>
          <w:numId w:val="1"/>
        </w:numPr>
        <w:spacing w:after="70"/>
        <w:rPr>
          <w:rFonts w:ascii="Arial" w:hAnsi="Arial" w:cs="Arial"/>
          <w:sz w:val="22"/>
          <w:szCs w:val="22"/>
          <w:lang w:val="es-DO"/>
        </w:rPr>
      </w:pPr>
      <w:r>
        <w:rPr>
          <w:rFonts w:ascii="Arial" w:hAnsi="Arial" w:cs="Arial"/>
          <w:sz w:val="22"/>
          <w:szCs w:val="22"/>
          <w:lang w:val=""/>
        </w:rPr>
        <w:t xml:space="preserve">Se le debe proporcionar una notificación por escrito </w:t>
      </w:r>
      <w:r>
        <w:rPr>
          <w:rFonts w:ascii="Arial" w:hAnsi="Arial" w:cs="Arial"/>
          <w:sz w:val="22"/>
          <w:szCs w:val="22"/>
          <w:vertAlign w:val="superscript"/>
          <w:lang w:val=""/>
        </w:rPr>
        <w:t>1</w:t>
      </w:r>
      <w:r>
        <w:rPr>
          <w:rFonts w:ascii="Arial" w:hAnsi="Arial" w:cs="Arial"/>
          <w:sz w:val="22"/>
          <w:szCs w:val="22"/>
          <w:lang w:val=""/>
        </w:rPr>
        <w:t xml:space="preserve"> de que sus huellas dactilares se utilizarán para verificar el registro de antecedentes penales del FBI. </w:t>
      </w:r>
    </w:p>
    <w:p w14:paraId="05556CEB" w14:textId="77777777" w:rsidR="005B13E6" w:rsidRPr="0028242B" w:rsidRDefault="00172A4F" w:rsidP="005B13E6">
      <w:pPr>
        <w:pStyle w:val="Default"/>
        <w:numPr>
          <w:ilvl w:val="0"/>
          <w:numId w:val="1"/>
        </w:numPr>
        <w:spacing w:after="70"/>
        <w:rPr>
          <w:rFonts w:ascii="Arial" w:hAnsi="Arial" w:cs="Arial"/>
          <w:sz w:val="22"/>
          <w:szCs w:val="22"/>
          <w:lang w:val="es-DO"/>
        </w:rPr>
      </w:pPr>
      <w:r>
        <w:rPr>
          <w:rFonts w:ascii="Arial" w:hAnsi="Arial" w:cs="Arial"/>
          <w:sz w:val="22"/>
          <w:szCs w:val="22"/>
          <w:lang w:val=""/>
        </w:rPr>
        <w:t xml:space="preserve">Si tiene antecedentes penales, los funcionarios que determinen su idoneidad para el trabajo, la licencia u otro beneficio deben brindarle la oportunidad de completar o cuestionar la exactitud de la información del registro. </w:t>
      </w:r>
    </w:p>
    <w:p w14:paraId="394034A2" w14:textId="77777777" w:rsidR="005B13E6" w:rsidRPr="0028242B" w:rsidRDefault="00172A4F" w:rsidP="005B13E6">
      <w:pPr>
        <w:pStyle w:val="Default"/>
        <w:numPr>
          <w:ilvl w:val="0"/>
          <w:numId w:val="1"/>
        </w:numPr>
        <w:spacing w:after="70"/>
        <w:rPr>
          <w:rFonts w:ascii="Arial" w:hAnsi="Arial" w:cs="Arial"/>
          <w:sz w:val="22"/>
          <w:szCs w:val="22"/>
          <w:lang w:val="es-DO"/>
        </w:rPr>
      </w:pPr>
      <w:r>
        <w:rPr>
          <w:rFonts w:ascii="Arial" w:hAnsi="Arial" w:cs="Arial"/>
          <w:sz w:val="22"/>
          <w:szCs w:val="22"/>
          <w:lang w:val=""/>
        </w:rPr>
        <w:t xml:space="preserve">Los funcionarios deben informarle que los procedimientos para obtener un cambio, corrección o actualización de su registro de antecedentes penales se establecen en el Título 28, Código de Regulaciones Federales (CFR), Sección 16.34. </w:t>
      </w:r>
    </w:p>
    <w:p w14:paraId="6F300CB5" w14:textId="77777777" w:rsidR="005B13E6" w:rsidRPr="00877B82" w:rsidRDefault="00172A4F" w:rsidP="005B13E6">
      <w:pPr>
        <w:pStyle w:val="Default"/>
        <w:numPr>
          <w:ilvl w:val="0"/>
          <w:numId w:val="1"/>
        </w:numPr>
        <w:rPr>
          <w:rFonts w:ascii="Arial" w:hAnsi="Arial" w:cs="Arial"/>
          <w:sz w:val="22"/>
          <w:szCs w:val="22"/>
        </w:rPr>
      </w:pPr>
      <w:r>
        <w:rPr>
          <w:rFonts w:ascii="Arial" w:hAnsi="Arial" w:cs="Arial"/>
          <w:sz w:val="22"/>
          <w:szCs w:val="22"/>
          <w:lang w:val=""/>
        </w:rPr>
        <w:t xml:space="preserve">Si tiene antecedentes penales, se le debe brindar una cantidad de tiempo razonable para corregir o completar el registro (o negarse a hacerlo) antes de que los funcionarios le nieguen el trabajo, la licencia u otro beneficio basándose en la información del registro de antecedentes penales. </w:t>
      </w:r>
      <w:r>
        <w:rPr>
          <w:rFonts w:ascii="Arial" w:hAnsi="Arial" w:cs="Arial"/>
          <w:sz w:val="22"/>
          <w:szCs w:val="22"/>
          <w:vertAlign w:val="superscript"/>
          <w:lang w:val=""/>
        </w:rPr>
        <w:t xml:space="preserve">2 </w:t>
      </w:r>
    </w:p>
    <w:p w14:paraId="21645E23" w14:textId="77777777" w:rsidR="005B13E6" w:rsidRPr="0028242B" w:rsidRDefault="00172A4F" w:rsidP="005B13E6">
      <w:pPr>
        <w:pStyle w:val="Default"/>
        <w:spacing w:before="240" w:after="240"/>
        <w:rPr>
          <w:rFonts w:ascii="Arial" w:hAnsi="Arial" w:cs="Arial"/>
          <w:sz w:val="22"/>
          <w:szCs w:val="22"/>
          <w:lang w:val="es-DO"/>
        </w:rPr>
      </w:pPr>
      <w:r>
        <w:rPr>
          <w:rFonts w:ascii="Arial" w:hAnsi="Arial" w:cs="Arial"/>
          <w:sz w:val="22"/>
          <w:szCs w:val="22"/>
          <w:lang w:val=""/>
        </w:rPr>
        <w:t xml:space="preserve">Tiene derecho a esperar que los funcionarios que reciban los resultados de la verificación de antecedentes penales los utilicen únicamente para fines autorizados y no los retengan ni difundan en violación de estatutos, reglamentos u órdenes ejecutivas federales, o reglas, procedimientos o estándares establecidos por el Consejo Nacional para la Prevención del Delito y el Pacto de Privacidad. </w:t>
      </w:r>
      <w:r>
        <w:rPr>
          <w:rFonts w:ascii="Arial" w:hAnsi="Arial" w:cs="Arial"/>
          <w:sz w:val="22"/>
          <w:szCs w:val="22"/>
          <w:vertAlign w:val="superscript"/>
          <w:lang w:val=""/>
        </w:rPr>
        <w:t xml:space="preserve">3 </w:t>
      </w:r>
    </w:p>
    <w:p w14:paraId="227C2B39" w14:textId="77777777" w:rsidR="005B13E6" w:rsidRPr="0028242B" w:rsidRDefault="00172A4F" w:rsidP="005B13E6">
      <w:pPr>
        <w:pStyle w:val="Default"/>
        <w:rPr>
          <w:rFonts w:ascii="Arial" w:hAnsi="Arial" w:cs="Arial"/>
          <w:sz w:val="22"/>
          <w:szCs w:val="22"/>
          <w:lang w:val="es-DO"/>
        </w:rPr>
      </w:pPr>
      <w:r>
        <w:rPr>
          <w:rFonts w:ascii="Arial" w:hAnsi="Arial" w:cs="Arial"/>
          <w:sz w:val="22"/>
          <w:szCs w:val="22"/>
          <w:lang w:val=""/>
        </w:rPr>
        <w:t xml:space="preserve">Si la política de la agencia lo permite, los funcionarios pueden proporcionarle una copia de su registro de antecedentes penales del FBI para su revisión y posible impugnación. Si la política de la agencia no le permite proporcionarle una copia del registro, puede obtener una copia del registro enviando sus huellas dactilares y pagando una tarifa al FBI. La información sobre este proceso se puede obtener en </w:t>
      </w:r>
      <w:hyperlink r:id="rId8" w:history="1">
        <w:r w:rsidR="005B13E6">
          <w:rPr>
            <w:rStyle w:val="Hyperlink"/>
            <w:rFonts w:ascii="Arial" w:hAnsi="Arial" w:cs="Arial"/>
            <w:sz w:val="22"/>
            <w:szCs w:val="22"/>
            <w:lang w:val=""/>
          </w:rPr>
          <w:t>http://www.fbi.gov/about-us/cjis/background-checks</w:t>
        </w:r>
      </w:hyperlink>
      <w:r>
        <w:rPr>
          <w:rFonts w:ascii="Arial" w:hAnsi="Arial" w:cs="Arial"/>
          <w:sz w:val="22"/>
          <w:szCs w:val="22"/>
          <w:lang w:val=""/>
        </w:rPr>
        <w:t xml:space="preserve">.  </w:t>
      </w:r>
    </w:p>
    <w:p w14:paraId="109300A1" w14:textId="77777777" w:rsidR="005B13E6" w:rsidRPr="0028242B" w:rsidRDefault="00172A4F" w:rsidP="005B13E6">
      <w:pPr>
        <w:spacing w:before="240" w:after="720"/>
        <w:rPr>
          <w:rFonts w:ascii="Arial" w:hAnsi="Arial" w:cs="Arial"/>
          <w:sz w:val="22"/>
          <w:szCs w:val="22"/>
          <w:lang w:val="es-DO"/>
        </w:rPr>
      </w:pPr>
      <w:r>
        <w:rPr>
          <w:rFonts w:ascii="Arial" w:hAnsi="Arial" w:cs="Arial"/>
          <w:sz w:val="22"/>
          <w:szCs w:val="22"/>
          <w:lang w:val=""/>
        </w:rPr>
        <w:t>Si decide impugnar la exactitud o integridad de su registro de antecedentes penales del FBI, debe enviar su impugnación a la agencia que proporcionó la información cuestionada al FBI. Alternativamente, puede enviar su impugnación directamente al FBI. Luego, el FBI enviará su impugnación a la agencia que aportó la información cuestionada y solicitará a la agencia que verifique o corrija la impugnación cuestionada. Al recibir una comunicación oficial de esa agencia, el FBI realizará los cambios o correcciones necesarios a su registro de acuerdo con la información proporcionada por esa agencia. (Véase 28 CFR 16.30 a 16.34.)</w:t>
      </w:r>
    </w:p>
    <w:p w14:paraId="728BC892" w14:textId="77777777" w:rsidR="005B13E6" w:rsidRPr="0028242B" w:rsidRDefault="00172A4F" w:rsidP="005B13E6">
      <w:pPr>
        <w:pStyle w:val="Default"/>
        <w:rPr>
          <w:rFonts w:ascii="Arial" w:hAnsi="Arial" w:cs="Arial"/>
          <w:sz w:val="22"/>
          <w:szCs w:val="22"/>
          <w:lang w:val="es-DO"/>
        </w:rPr>
      </w:pPr>
      <w:r>
        <w:rPr>
          <w:rFonts w:ascii="Arial" w:hAnsi="Arial" w:cs="Arial"/>
          <w:sz w:val="22"/>
          <w:szCs w:val="22"/>
          <w:lang w:val=""/>
        </w:rPr>
        <w:t xml:space="preserve">1 La notificación escrita incluye la notificación electrónica, pero excluye la notificación oral. </w:t>
      </w:r>
    </w:p>
    <w:p w14:paraId="779A900F" w14:textId="77777777" w:rsidR="005B13E6" w:rsidRPr="0028242B" w:rsidRDefault="00172A4F" w:rsidP="005B13E6">
      <w:pPr>
        <w:pStyle w:val="Default"/>
        <w:rPr>
          <w:rFonts w:ascii="Arial" w:hAnsi="Arial" w:cs="Arial"/>
          <w:sz w:val="22"/>
          <w:szCs w:val="22"/>
          <w:lang w:val="es-DO"/>
        </w:rPr>
      </w:pPr>
      <w:r>
        <w:rPr>
          <w:rFonts w:ascii="Arial" w:hAnsi="Arial" w:cs="Arial"/>
          <w:sz w:val="22"/>
          <w:szCs w:val="22"/>
          <w:lang w:val=""/>
        </w:rPr>
        <w:t xml:space="preserve">2 Véase 28 CFR 50.12(b). </w:t>
      </w:r>
    </w:p>
    <w:p w14:paraId="7F957593" w14:textId="77777777" w:rsidR="005B13E6" w:rsidRPr="0028242B" w:rsidRDefault="00172A4F" w:rsidP="005B13E6">
      <w:pPr>
        <w:rPr>
          <w:rFonts w:ascii="Arial" w:hAnsi="Arial" w:cs="Arial"/>
          <w:sz w:val="22"/>
          <w:szCs w:val="22"/>
          <w:lang w:val="es-DO"/>
        </w:rPr>
      </w:pPr>
      <w:r>
        <w:rPr>
          <w:rFonts w:ascii="Arial" w:hAnsi="Arial" w:cs="Arial"/>
          <w:sz w:val="22"/>
          <w:szCs w:val="22"/>
          <w:lang w:val=""/>
        </w:rPr>
        <w:t>3 Véase 5 U.S.C. 552a(b); 28 U.S.C. 534(b); 42 U.S.C. 14616, Artículo IV9c); 28 CFR 20.21(c), 20.33(d) y 906.2(d).</w:t>
      </w:r>
    </w:p>
    <w:p w14:paraId="23CC786C" w14:textId="77777777" w:rsidR="007D68B5" w:rsidRPr="0028242B" w:rsidRDefault="007D68B5" w:rsidP="005B13E6">
      <w:pPr>
        <w:tabs>
          <w:tab w:val="left" w:pos="5733"/>
        </w:tabs>
        <w:rPr>
          <w:rFonts w:ascii="Arial" w:hAnsi="Arial" w:cs="Arial"/>
          <w:sz w:val="22"/>
          <w:szCs w:val="22"/>
          <w:lang w:val="es-DO"/>
        </w:rPr>
      </w:pPr>
    </w:p>
    <w:p w14:paraId="76348FFD" w14:textId="77777777" w:rsidR="00F30ECD" w:rsidRPr="0028242B" w:rsidRDefault="00172A4F" w:rsidP="005B13E6">
      <w:pPr>
        <w:tabs>
          <w:tab w:val="left" w:pos="5733"/>
        </w:tabs>
        <w:rPr>
          <w:rFonts w:ascii="Arial" w:hAnsi="Arial" w:cs="Arial"/>
          <w:sz w:val="20"/>
          <w:lang w:val="es-DO"/>
        </w:rPr>
      </w:pPr>
      <w:r>
        <w:rPr>
          <w:rFonts w:ascii="Arial" w:hAnsi="Arial" w:cs="Arial"/>
          <w:sz w:val="20"/>
          <w:lang w:val=""/>
        </w:rPr>
        <w:t xml:space="preserve">Si usted es un veterano en el estado de Missouri y está interesado en aprender más sobre los beneficios y recursos disponibles para usted y sus dependientes, visite: </w:t>
      </w:r>
      <w:hyperlink r:id="rId9" w:tgtFrame="_blank" w:history="1">
        <w:r w:rsidR="00F30ECD" w:rsidRPr="0028242B">
          <w:rPr>
            <w:rStyle w:val="Hyperlink"/>
            <w:rFonts w:ascii="Arial" w:hAnsi="Arial" w:cs="Arial"/>
            <w:sz w:val="20"/>
            <w:lang w:val=""/>
          </w:rPr>
          <w:t>https://mvc.dps.mo.gov/MoVeteransInformation/Survey/DSS</w:t>
        </w:r>
      </w:hyperlink>
      <w:r>
        <w:rPr>
          <w:rFonts w:ascii="Arial" w:hAnsi="Arial" w:cs="Arial"/>
          <w:sz w:val="20"/>
          <w:lang w:val=""/>
        </w:rPr>
        <w:t>.</w:t>
      </w:r>
    </w:p>
    <w:sectPr w:rsidR="00F30ECD" w:rsidRPr="0028242B" w:rsidSect="00374CEE">
      <w:footerReference w:type="default" r:id="rId10"/>
      <w:headerReference w:type="first" r:id="rId11"/>
      <w:footerReference w:type="first" r:id="rId12"/>
      <w:type w:val="continuous"/>
      <w:pgSz w:w="12240" w:h="15840" w:code="1"/>
      <w:pgMar w:top="1440" w:right="1440" w:bottom="1440" w:left="144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FE81" w14:textId="77777777" w:rsidR="00C6088E" w:rsidRDefault="00C6088E">
      <w:r>
        <w:separator/>
      </w:r>
    </w:p>
  </w:endnote>
  <w:endnote w:type="continuationSeparator" w:id="0">
    <w:p w14:paraId="56756619" w14:textId="77777777" w:rsidR="00C6088E" w:rsidRDefault="00C6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2DBC" w14:textId="77777777" w:rsidR="00FC114A" w:rsidRDefault="00FC114A">
    <w:pPr>
      <w:pStyle w:val="Footer"/>
      <w:tabs>
        <w:tab w:val="clear" w:pos="8640"/>
        <w:tab w:val="right" w:pos="10440"/>
      </w:tabs>
      <w:ind w:left="-1800" w:righ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9018" w14:textId="77777777" w:rsidR="00374CEE" w:rsidRPr="0028242B" w:rsidRDefault="00172A4F" w:rsidP="00374CEE">
    <w:pPr>
      <w:pStyle w:val="Footer"/>
      <w:jc w:val="center"/>
      <w:rPr>
        <w:rFonts w:asciiTheme="minorHAnsi" w:hAnsiTheme="minorHAnsi" w:cstheme="minorHAnsi"/>
        <w:i/>
        <w:iCs/>
        <w:sz w:val="18"/>
        <w:szCs w:val="18"/>
        <w:lang w:val="es-DO"/>
      </w:rPr>
    </w:pPr>
    <w:bookmarkStart w:id="2" w:name="_Hlk192579071"/>
    <w:bookmarkStart w:id="3" w:name="_Hlk192579072"/>
    <w:r>
      <w:rPr>
        <w:rFonts w:asciiTheme="minorHAnsi" w:hAnsiTheme="minorHAnsi" w:cstheme="minorHAnsi"/>
        <w:i/>
        <w:iCs/>
        <w:sz w:val="18"/>
        <w:szCs w:val="18"/>
        <w:lang w:val=""/>
      </w:rPr>
      <w:t>Empoderar a los habitantes de Missouri para que vivan una vida segura, saludable y productiva.</w:t>
    </w:r>
  </w:p>
  <w:p w14:paraId="6A1AD477" w14:textId="77777777" w:rsidR="00374CEE" w:rsidRPr="0028242B" w:rsidRDefault="00172A4F" w:rsidP="00374CEE">
    <w:pPr>
      <w:pStyle w:val="Footer"/>
      <w:jc w:val="center"/>
      <w:rPr>
        <w:rFonts w:asciiTheme="minorHAnsi" w:hAnsiTheme="minorHAnsi" w:cstheme="minorHAnsi"/>
        <w:sz w:val="18"/>
        <w:szCs w:val="18"/>
        <w:lang w:val="es-DO"/>
      </w:rPr>
    </w:pPr>
    <w:r>
      <w:rPr>
        <w:rFonts w:asciiTheme="minorHAnsi" w:hAnsiTheme="minorHAnsi" w:cstheme="minorHAnsi"/>
        <w:sz w:val="18"/>
        <w:szCs w:val="18"/>
        <w:lang w:val=""/>
      </w:rPr>
      <w:t>HAY AYUDAS Y SERVICIOS COMPLEMENTARIOS DISPONIBLES PARA LAS PERSONAS CON DISCAPACIDADES, PREVIA SOLICITUD</w:t>
    </w:r>
  </w:p>
  <w:p w14:paraId="2255C62E" w14:textId="77777777" w:rsidR="00374CEE" w:rsidRPr="0028242B" w:rsidRDefault="00172A4F" w:rsidP="00374CEE">
    <w:pPr>
      <w:pStyle w:val="Footer"/>
      <w:jc w:val="center"/>
      <w:rPr>
        <w:rFonts w:asciiTheme="minorHAnsi" w:hAnsiTheme="minorHAnsi" w:cstheme="minorHAnsi"/>
        <w:sz w:val="18"/>
        <w:szCs w:val="18"/>
        <w:lang w:val="es-DO"/>
      </w:rPr>
    </w:pPr>
    <w:r>
      <w:rPr>
        <w:rFonts w:asciiTheme="minorHAnsi" w:hAnsiTheme="minorHAnsi" w:cstheme="minorHAnsi"/>
        <w:sz w:val="18"/>
        <w:szCs w:val="18"/>
        <w:lang w:val=""/>
      </w:rPr>
      <w:t>El Departamento de Servicios Sociales de Missouri es un programa/empleador que ofrece igualdad de oportunidades.</w:t>
    </w:r>
    <w:bookmarkEnd w:id="2"/>
    <w:bookmarkEnd w:id="3"/>
  </w:p>
  <w:p w14:paraId="4FA08A3B" w14:textId="77777777" w:rsidR="00941BCF" w:rsidRPr="003A4929" w:rsidRDefault="00172A4F" w:rsidP="003A4929">
    <w:pPr>
      <w:pStyle w:val="Footer"/>
      <w:jc w:val="right"/>
      <w:rPr>
        <w:rFonts w:asciiTheme="minorHAnsi" w:hAnsiTheme="minorHAnsi" w:cstheme="minorHAnsi"/>
        <w:sz w:val="18"/>
        <w:szCs w:val="18"/>
      </w:rPr>
    </w:pPr>
    <w:r>
      <w:rPr>
        <w:rFonts w:asciiTheme="minorHAnsi" w:hAnsiTheme="minorHAnsi" w:cstheme="minorHAnsi"/>
        <w:sz w:val="18"/>
        <w:szCs w:val="18"/>
        <w:lang w:val=""/>
      </w:rPr>
      <w:t>CD-26b (Rev. 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AB0B" w14:textId="77777777" w:rsidR="00C6088E" w:rsidRDefault="00C6088E">
      <w:r>
        <w:separator/>
      </w:r>
    </w:p>
  </w:footnote>
  <w:footnote w:type="continuationSeparator" w:id="0">
    <w:p w14:paraId="5E95E3DA" w14:textId="77777777" w:rsidR="00C6088E" w:rsidRDefault="00C6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47A2" w14:textId="77777777" w:rsidR="00FC114A" w:rsidRDefault="00172A4F" w:rsidP="00BA2141">
    <w:pPr>
      <w:pStyle w:val="Header"/>
      <w:ind w:left="-600"/>
      <w:jc w:val="center"/>
    </w:pPr>
    <w:r>
      <w:rPr>
        <w:noProof/>
        <w:lang w:val=""/>
      </w:rPr>
      <w:drawing>
        <wp:inline distT="0" distB="0" distL="0" distR="0" wp14:anchorId="58CE457C" wp14:editId="7C4C99CF">
          <wp:extent cx="6286500" cy="12299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stretch>
                    <a:fillRect/>
                  </a:stretch>
                </pic:blipFill>
                <pic:spPr>
                  <a:xfrm>
                    <a:off x="0" y="0"/>
                    <a:ext cx="6286500" cy="1229995"/>
                  </a:xfrm>
                  <a:prstGeom prst="rect">
                    <a:avLst/>
                  </a:prstGeom>
                </pic:spPr>
              </pic:pic>
            </a:graphicData>
          </a:graphic>
        </wp:inline>
      </w:drawing>
    </w:r>
  </w:p>
  <w:p w14:paraId="68AFFA86" w14:textId="77777777" w:rsidR="00FC114A" w:rsidRPr="00D65D8A" w:rsidRDefault="00FC114A">
    <w:pPr>
      <w:pStyle w:val="Header"/>
      <w:jc w:val="center"/>
      <w:rPr>
        <w:sz w:val="16"/>
      </w:rPr>
    </w:pPr>
  </w:p>
  <w:p w14:paraId="422ADD71" w14:textId="77777777" w:rsidR="00FC114A" w:rsidRDefault="00FC114A" w:rsidP="00C762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247E3"/>
    <w:multiLevelType w:val="hybridMultilevel"/>
    <w:tmpl w:val="33E409BA"/>
    <w:lvl w:ilvl="0" w:tplc="4D9A6C94">
      <w:start w:val="1"/>
      <w:numFmt w:val="bullet"/>
      <w:lvlText w:val=""/>
      <w:lvlJc w:val="left"/>
      <w:pPr>
        <w:ind w:left="720" w:hanging="360"/>
      </w:pPr>
      <w:rPr>
        <w:rFonts w:ascii="Symbol" w:hAnsi="Symbol" w:hint="default"/>
      </w:rPr>
    </w:lvl>
    <w:lvl w:ilvl="1" w:tplc="EA708A6E" w:tentative="1">
      <w:start w:val="1"/>
      <w:numFmt w:val="bullet"/>
      <w:lvlText w:val="o"/>
      <w:lvlJc w:val="left"/>
      <w:pPr>
        <w:ind w:left="1440" w:hanging="360"/>
      </w:pPr>
      <w:rPr>
        <w:rFonts w:ascii="Courier New" w:hAnsi="Courier New" w:cs="Courier New" w:hint="default"/>
      </w:rPr>
    </w:lvl>
    <w:lvl w:ilvl="2" w:tplc="0ED8E0AC" w:tentative="1">
      <w:start w:val="1"/>
      <w:numFmt w:val="bullet"/>
      <w:lvlText w:val=""/>
      <w:lvlJc w:val="left"/>
      <w:pPr>
        <w:ind w:left="2160" w:hanging="360"/>
      </w:pPr>
      <w:rPr>
        <w:rFonts w:ascii="Wingdings" w:hAnsi="Wingdings" w:hint="default"/>
      </w:rPr>
    </w:lvl>
    <w:lvl w:ilvl="3" w:tplc="D03073CC" w:tentative="1">
      <w:start w:val="1"/>
      <w:numFmt w:val="bullet"/>
      <w:lvlText w:val=""/>
      <w:lvlJc w:val="left"/>
      <w:pPr>
        <w:ind w:left="2880" w:hanging="360"/>
      </w:pPr>
      <w:rPr>
        <w:rFonts w:ascii="Symbol" w:hAnsi="Symbol" w:hint="default"/>
      </w:rPr>
    </w:lvl>
    <w:lvl w:ilvl="4" w:tplc="B6BAA826" w:tentative="1">
      <w:start w:val="1"/>
      <w:numFmt w:val="bullet"/>
      <w:lvlText w:val="o"/>
      <w:lvlJc w:val="left"/>
      <w:pPr>
        <w:ind w:left="3600" w:hanging="360"/>
      </w:pPr>
      <w:rPr>
        <w:rFonts w:ascii="Courier New" w:hAnsi="Courier New" w:cs="Courier New" w:hint="default"/>
      </w:rPr>
    </w:lvl>
    <w:lvl w:ilvl="5" w:tplc="525ACC1E" w:tentative="1">
      <w:start w:val="1"/>
      <w:numFmt w:val="bullet"/>
      <w:lvlText w:val=""/>
      <w:lvlJc w:val="left"/>
      <w:pPr>
        <w:ind w:left="4320" w:hanging="360"/>
      </w:pPr>
      <w:rPr>
        <w:rFonts w:ascii="Wingdings" w:hAnsi="Wingdings" w:hint="default"/>
      </w:rPr>
    </w:lvl>
    <w:lvl w:ilvl="6" w:tplc="5260A9B4" w:tentative="1">
      <w:start w:val="1"/>
      <w:numFmt w:val="bullet"/>
      <w:lvlText w:val=""/>
      <w:lvlJc w:val="left"/>
      <w:pPr>
        <w:ind w:left="5040" w:hanging="360"/>
      </w:pPr>
      <w:rPr>
        <w:rFonts w:ascii="Symbol" w:hAnsi="Symbol" w:hint="default"/>
      </w:rPr>
    </w:lvl>
    <w:lvl w:ilvl="7" w:tplc="00FE7EDE" w:tentative="1">
      <w:start w:val="1"/>
      <w:numFmt w:val="bullet"/>
      <w:lvlText w:val="o"/>
      <w:lvlJc w:val="left"/>
      <w:pPr>
        <w:ind w:left="5760" w:hanging="360"/>
      </w:pPr>
      <w:rPr>
        <w:rFonts w:ascii="Courier New" w:hAnsi="Courier New" w:cs="Courier New" w:hint="default"/>
      </w:rPr>
    </w:lvl>
    <w:lvl w:ilvl="8" w:tplc="A7DAF57E" w:tentative="1">
      <w:start w:val="1"/>
      <w:numFmt w:val="bullet"/>
      <w:lvlText w:val=""/>
      <w:lvlJc w:val="left"/>
      <w:pPr>
        <w:ind w:left="6480" w:hanging="360"/>
      </w:pPr>
      <w:rPr>
        <w:rFonts w:ascii="Wingdings" w:hAnsi="Wingdings" w:hint="default"/>
      </w:rPr>
    </w:lvl>
  </w:abstractNum>
  <w:num w:numId="1" w16cid:durableId="1974363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22ws40BrLmlBzgL0iNSGs6w7hj4FKKwX+jGvC5jTFCdm+SylvDw9ZS9rO07XaWYXzdTu8l+MtYMdS++Edw7lVQ==" w:salt="j7guuUZApdDmKQrSlx6nxg=="/>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E6"/>
    <w:rsid w:val="0002394C"/>
    <w:rsid w:val="000606F6"/>
    <w:rsid w:val="00076E51"/>
    <w:rsid w:val="00085DFD"/>
    <w:rsid w:val="0008730E"/>
    <w:rsid w:val="000E3FA7"/>
    <w:rsid w:val="000E6C3B"/>
    <w:rsid w:val="0011504C"/>
    <w:rsid w:val="00171B1E"/>
    <w:rsid w:val="00172A4F"/>
    <w:rsid w:val="001A29DA"/>
    <w:rsid w:val="001A6632"/>
    <w:rsid w:val="001A6E33"/>
    <w:rsid w:val="001E0EE0"/>
    <w:rsid w:val="001F0C59"/>
    <w:rsid w:val="002173F6"/>
    <w:rsid w:val="00222908"/>
    <w:rsid w:val="0023448C"/>
    <w:rsid w:val="00246B31"/>
    <w:rsid w:val="002734EF"/>
    <w:rsid w:val="0028242B"/>
    <w:rsid w:val="002A677A"/>
    <w:rsid w:val="002C4771"/>
    <w:rsid w:val="002C4CE6"/>
    <w:rsid w:val="002D69DB"/>
    <w:rsid w:val="002E7D7B"/>
    <w:rsid w:val="00313E08"/>
    <w:rsid w:val="00322A4E"/>
    <w:rsid w:val="00325402"/>
    <w:rsid w:val="00360DA2"/>
    <w:rsid w:val="00374CEE"/>
    <w:rsid w:val="003839EC"/>
    <w:rsid w:val="003A1673"/>
    <w:rsid w:val="003A4929"/>
    <w:rsid w:val="003A533D"/>
    <w:rsid w:val="003A6A01"/>
    <w:rsid w:val="003E34EE"/>
    <w:rsid w:val="003F75B7"/>
    <w:rsid w:val="004268FC"/>
    <w:rsid w:val="00431E9B"/>
    <w:rsid w:val="00452EB5"/>
    <w:rsid w:val="004607B2"/>
    <w:rsid w:val="004835CD"/>
    <w:rsid w:val="004902E6"/>
    <w:rsid w:val="004C26C1"/>
    <w:rsid w:val="004C4E89"/>
    <w:rsid w:val="004D07FF"/>
    <w:rsid w:val="004F0DF0"/>
    <w:rsid w:val="004F620F"/>
    <w:rsid w:val="00514708"/>
    <w:rsid w:val="005167B4"/>
    <w:rsid w:val="0052366C"/>
    <w:rsid w:val="005555F1"/>
    <w:rsid w:val="005567D6"/>
    <w:rsid w:val="005614B3"/>
    <w:rsid w:val="00565C9C"/>
    <w:rsid w:val="00593C1A"/>
    <w:rsid w:val="005B13E6"/>
    <w:rsid w:val="005B7202"/>
    <w:rsid w:val="005F0195"/>
    <w:rsid w:val="00621F75"/>
    <w:rsid w:val="006277D2"/>
    <w:rsid w:val="00634BC5"/>
    <w:rsid w:val="00665819"/>
    <w:rsid w:val="00677B4E"/>
    <w:rsid w:val="00682C94"/>
    <w:rsid w:val="006921D3"/>
    <w:rsid w:val="006A10A2"/>
    <w:rsid w:val="006C22D1"/>
    <w:rsid w:val="006C667D"/>
    <w:rsid w:val="006D7DA0"/>
    <w:rsid w:val="006E32C8"/>
    <w:rsid w:val="006F26AD"/>
    <w:rsid w:val="00726B5C"/>
    <w:rsid w:val="00734B91"/>
    <w:rsid w:val="00750F17"/>
    <w:rsid w:val="00766813"/>
    <w:rsid w:val="00770E30"/>
    <w:rsid w:val="0078293C"/>
    <w:rsid w:val="0079130F"/>
    <w:rsid w:val="00791437"/>
    <w:rsid w:val="007930E4"/>
    <w:rsid w:val="007B1A44"/>
    <w:rsid w:val="007D405C"/>
    <w:rsid w:val="007D68B5"/>
    <w:rsid w:val="007E5D9F"/>
    <w:rsid w:val="007F50D8"/>
    <w:rsid w:val="00806DCA"/>
    <w:rsid w:val="008163CC"/>
    <w:rsid w:val="00816D54"/>
    <w:rsid w:val="00837456"/>
    <w:rsid w:val="00855E6A"/>
    <w:rsid w:val="00866EF9"/>
    <w:rsid w:val="0087790B"/>
    <w:rsid w:val="00877B82"/>
    <w:rsid w:val="008D432C"/>
    <w:rsid w:val="008E49E0"/>
    <w:rsid w:val="00907E16"/>
    <w:rsid w:val="00910A36"/>
    <w:rsid w:val="00922E33"/>
    <w:rsid w:val="00934923"/>
    <w:rsid w:val="00936A19"/>
    <w:rsid w:val="00941BCF"/>
    <w:rsid w:val="00943FB2"/>
    <w:rsid w:val="009651CE"/>
    <w:rsid w:val="00986FC3"/>
    <w:rsid w:val="0099030F"/>
    <w:rsid w:val="009D61E8"/>
    <w:rsid w:val="009E7F56"/>
    <w:rsid w:val="00A01CC7"/>
    <w:rsid w:val="00A04E8A"/>
    <w:rsid w:val="00A223AB"/>
    <w:rsid w:val="00A320A9"/>
    <w:rsid w:val="00A44BB1"/>
    <w:rsid w:val="00A811BE"/>
    <w:rsid w:val="00AA0325"/>
    <w:rsid w:val="00AA6941"/>
    <w:rsid w:val="00AF4C72"/>
    <w:rsid w:val="00B11959"/>
    <w:rsid w:val="00B25090"/>
    <w:rsid w:val="00B341A0"/>
    <w:rsid w:val="00B85103"/>
    <w:rsid w:val="00BA2141"/>
    <w:rsid w:val="00BD1B42"/>
    <w:rsid w:val="00C01222"/>
    <w:rsid w:val="00C07978"/>
    <w:rsid w:val="00C07DF7"/>
    <w:rsid w:val="00C2565D"/>
    <w:rsid w:val="00C30B62"/>
    <w:rsid w:val="00C35ACF"/>
    <w:rsid w:val="00C366F9"/>
    <w:rsid w:val="00C36A54"/>
    <w:rsid w:val="00C42776"/>
    <w:rsid w:val="00C6088E"/>
    <w:rsid w:val="00C73B2E"/>
    <w:rsid w:val="00C762B6"/>
    <w:rsid w:val="00C857EF"/>
    <w:rsid w:val="00CA3D01"/>
    <w:rsid w:val="00CC3E10"/>
    <w:rsid w:val="00CE52AB"/>
    <w:rsid w:val="00D01ABD"/>
    <w:rsid w:val="00D1350D"/>
    <w:rsid w:val="00D13CF4"/>
    <w:rsid w:val="00D303CF"/>
    <w:rsid w:val="00D567A5"/>
    <w:rsid w:val="00D64900"/>
    <w:rsid w:val="00D65D8A"/>
    <w:rsid w:val="00D7418B"/>
    <w:rsid w:val="00D7689B"/>
    <w:rsid w:val="00D93393"/>
    <w:rsid w:val="00DB255A"/>
    <w:rsid w:val="00DC17A3"/>
    <w:rsid w:val="00DF64DB"/>
    <w:rsid w:val="00E04509"/>
    <w:rsid w:val="00E445F6"/>
    <w:rsid w:val="00E53278"/>
    <w:rsid w:val="00E724E3"/>
    <w:rsid w:val="00E73A32"/>
    <w:rsid w:val="00E768B7"/>
    <w:rsid w:val="00E84BDE"/>
    <w:rsid w:val="00E853CC"/>
    <w:rsid w:val="00E961E8"/>
    <w:rsid w:val="00E962D2"/>
    <w:rsid w:val="00EB0C3B"/>
    <w:rsid w:val="00ED6BE8"/>
    <w:rsid w:val="00EE2AB9"/>
    <w:rsid w:val="00EE6A22"/>
    <w:rsid w:val="00EF1077"/>
    <w:rsid w:val="00F02E1C"/>
    <w:rsid w:val="00F1427C"/>
    <w:rsid w:val="00F22D5E"/>
    <w:rsid w:val="00F24EDB"/>
    <w:rsid w:val="00F30ECD"/>
    <w:rsid w:val="00F3157D"/>
    <w:rsid w:val="00F57A8B"/>
    <w:rsid w:val="00F737F9"/>
    <w:rsid w:val="00F76F1C"/>
    <w:rsid w:val="00FA20FC"/>
    <w:rsid w:val="00FA5237"/>
    <w:rsid w:val="00FC114A"/>
    <w:rsid w:val="00FE5121"/>
    <w:rsid w:val="00FF7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7AB46"/>
  <w15:docId w15:val="{882F0942-C725-4875-B631-6AB0EBE8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3E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style>
  <w:style w:type="paragraph" w:styleId="Footer">
    <w:name w:val="footer"/>
    <w:basedOn w:val="Normal"/>
    <w:link w:val="FooterChar"/>
    <w:uiPriority w:val="99"/>
    <w:rsid w:val="007F50D8"/>
    <w:pPr>
      <w:tabs>
        <w:tab w:val="center" w:pos="4320"/>
        <w:tab w:val="right" w:pos="8640"/>
      </w:tabs>
    </w:p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alloonText">
    <w:name w:val="Balloon Text"/>
    <w:basedOn w:val="Normal"/>
    <w:link w:val="BalloonTextChar"/>
    <w:uiPriority w:val="99"/>
    <w:semiHidden/>
    <w:unhideWhenUsed/>
    <w:rsid w:val="00936A19"/>
    <w:rPr>
      <w:rFonts w:ascii="Tahoma"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rsid w:val="00BD1B42"/>
    <w:rPr>
      <w:sz w:val="24"/>
    </w:rPr>
  </w:style>
  <w:style w:type="character" w:customStyle="1" w:styleId="hps">
    <w:name w:val="hps"/>
    <w:basedOn w:val="DefaultParagraphFont"/>
    <w:rsid w:val="00BD1B42"/>
  </w:style>
  <w:style w:type="table" w:styleId="TableGrid">
    <w:name w:val="Table Grid"/>
    <w:basedOn w:val="TableNormal"/>
    <w:rsid w:val="005B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13E6"/>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30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bi.gov/about-us/cjis/background-check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chs.mo.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An equal opportunity employer</vt:lpstr>
    </vt:vector>
  </TitlesOfParts>
  <Company>charlex</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DSS-CD</dc:creator>
  <cp:lastModifiedBy>Williams, Adrienne</cp:lastModifiedBy>
  <cp:revision>6</cp:revision>
  <cp:lastPrinted>2025-10-03T18:47:00Z</cp:lastPrinted>
  <dcterms:created xsi:type="dcterms:W3CDTF">2025-05-03T12:48:00Z</dcterms:created>
  <dcterms:modified xsi:type="dcterms:W3CDTF">2025-10-08T16:47:00Z</dcterms:modified>
</cp:coreProperties>
</file>