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41" w:rsidRDefault="00362DB3">
      <w:pPr>
        <w:pStyle w:val="BodyText"/>
        <w:spacing w:before="75" w:line="253" w:lineRule="exact"/>
        <w:ind w:left="2479" w:right="2306"/>
        <w:jc w:val="center"/>
      </w:pPr>
      <w:bookmarkStart w:id="0" w:name="_GoBack"/>
      <w:bookmarkEnd w:id="0"/>
      <w:r>
        <w:t>DRUG PRIOR AUTHORIZATION COMMITTEE MEETING</w:t>
      </w:r>
    </w:p>
    <w:p w:rsidR="00577741" w:rsidRDefault="00362DB3">
      <w:pPr>
        <w:pStyle w:val="BodyText"/>
        <w:spacing w:line="253" w:lineRule="exact"/>
        <w:ind w:left="2487" w:right="2303"/>
        <w:jc w:val="center"/>
      </w:pPr>
      <w:r>
        <w:t>December 15, 2016</w:t>
      </w:r>
    </w:p>
    <w:p w:rsidR="00577741" w:rsidRDefault="00362DB3">
      <w:pPr>
        <w:pStyle w:val="BodyText"/>
        <w:spacing w:before="1"/>
        <w:ind w:left="2487" w:right="2306"/>
        <w:jc w:val="center"/>
      </w:pPr>
      <w:r>
        <w:t>James C. Kirkpatrick State Information Center - 600 West Main Street, Jefferson City, MO</w:t>
      </w:r>
    </w:p>
    <w:p w:rsidR="00577741" w:rsidRDefault="00577741">
      <w:pPr>
        <w:rPr>
          <w:b/>
          <w:sz w:val="20"/>
        </w:rPr>
      </w:pPr>
    </w:p>
    <w:p w:rsidR="00577741" w:rsidRDefault="00577741">
      <w:pPr>
        <w:spacing w:before="5"/>
        <w:rPr>
          <w:b/>
          <w:sz w:val="2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1"/>
        <w:gridCol w:w="7345"/>
      </w:tblGrid>
      <w:tr w:rsidR="00577741">
        <w:trPr>
          <w:trHeight w:hRule="exact" w:val="2021"/>
        </w:trPr>
        <w:tc>
          <w:tcPr>
            <w:tcW w:w="6421" w:type="dxa"/>
          </w:tcPr>
          <w:p w:rsidR="00577741" w:rsidRDefault="00362DB3">
            <w:pPr>
              <w:pStyle w:val="TableParagraph"/>
              <w:spacing w:line="247" w:lineRule="exact"/>
              <w:ind w:left="200"/>
              <w:rPr>
                <w:b/>
              </w:rPr>
            </w:pPr>
            <w:r>
              <w:rPr>
                <w:b/>
              </w:rPr>
              <w:t>Committee Members Present</w:t>
            </w:r>
          </w:p>
          <w:p w:rsidR="00577741" w:rsidRDefault="00362DB3">
            <w:pPr>
              <w:pStyle w:val="TableParagraph"/>
              <w:spacing w:before="1"/>
              <w:ind w:left="200" w:right="3640"/>
            </w:pPr>
            <w:r>
              <w:t>Conrad Balcer,  D.O. Laine Young-Walker,</w:t>
            </w:r>
            <w:r>
              <w:rPr>
                <w:spacing w:val="-8"/>
              </w:rPr>
              <w:t xml:space="preserve"> </w:t>
            </w:r>
            <w:r>
              <w:t>M.D.</w:t>
            </w:r>
          </w:p>
          <w:p w:rsidR="00577741" w:rsidRDefault="00362DB3">
            <w:pPr>
              <w:pStyle w:val="TableParagraph"/>
              <w:ind w:left="200" w:right="2777"/>
            </w:pPr>
            <w:r>
              <w:t>Jennifer Kemp-Oestriech, Pharm D Patrick Bryant, Pharm D</w:t>
            </w:r>
          </w:p>
          <w:p w:rsidR="00577741" w:rsidRDefault="00362DB3">
            <w:pPr>
              <w:pStyle w:val="TableParagraph"/>
              <w:spacing w:before="1" w:line="252" w:lineRule="exact"/>
              <w:ind w:left="200"/>
            </w:pPr>
            <w:r>
              <w:t>Laura Kingsley, Pharm D</w:t>
            </w:r>
          </w:p>
          <w:p w:rsidR="00577741" w:rsidRDefault="00362DB3">
            <w:pPr>
              <w:pStyle w:val="TableParagraph"/>
              <w:ind w:left="200"/>
              <w:rPr>
                <w:i/>
              </w:rPr>
            </w:pPr>
            <w:r>
              <w:t xml:space="preserve">Morgan Sperry, Pharm D - </w:t>
            </w:r>
            <w:r>
              <w:rPr>
                <w:i/>
              </w:rPr>
              <w:t>*Non-voting member this mtg</w:t>
            </w:r>
          </w:p>
        </w:tc>
        <w:tc>
          <w:tcPr>
            <w:tcW w:w="7345" w:type="dxa"/>
          </w:tcPr>
          <w:p w:rsidR="00577741" w:rsidRDefault="00362DB3">
            <w:pPr>
              <w:pStyle w:val="TableParagraph"/>
              <w:spacing w:line="247" w:lineRule="exact"/>
              <w:ind w:left="728"/>
              <w:rPr>
                <w:b/>
              </w:rPr>
            </w:pPr>
            <w:r>
              <w:rPr>
                <w:b/>
              </w:rPr>
              <w:t>MO HealthNet Staff Present:</w:t>
            </w:r>
          </w:p>
          <w:p w:rsidR="00577741" w:rsidRDefault="00362DB3">
            <w:pPr>
              <w:pStyle w:val="TableParagraph"/>
              <w:spacing w:before="1"/>
              <w:ind w:left="728" w:right="2023"/>
            </w:pPr>
            <w:r>
              <w:t>Mark Roaseau, R.Ph, Clinical Pharmacist Stephen Calloway, R.Ph, Director of Pharmacy Jenna McTeer, RN, Clinical Management Angela Wilson, Manager, Band I</w:t>
            </w:r>
          </w:p>
          <w:p w:rsidR="00577741" w:rsidRDefault="00362DB3">
            <w:pPr>
              <w:pStyle w:val="TableParagraph"/>
              <w:ind w:left="728" w:right="198"/>
            </w:pPr>
            <w:r>
              <w:t>Megan Goldthrite, Administrative Office Support Assistant Frances (Franki) Moseley, Administrative Office Support</w:t>
            </w:r>
            <w:r>
              <w:rPr>
                <w:spacing w:val="-20"/>
              </w:rPr>
              <w:t xml:space="preserve"> </w:t>
            </w:r>
            <w:r>
              <w:t xml:space="preserve">Assistant Dr. Timothy Kling, </w:t>
            </w:r>
            <w:r>
              <w:rPr>
                <w:spacing w:val="-2"/>
              </w:rPr>
              <w:t xml:space="preserve">MD, </w:t>
            </w:r>
            <w:r>
              <w:t>Assistant Medical Director</w:t>
            </w:r>
            <w:r>
              <w:rPr>
                <w:spacing w:val="-6"/>
              </w:rPr>
              <w:t xml:space="preserve"> </w:t>
            </w:r>
            <w:r>
              <w:t>EBU</w:t>
            </w:r>
          </w:p>
        </w:tc>
      </w:tr>
    </w:tbl>
    <w:p w:rsidR="00577741" w:rsidRDefault="00577741">
      <w:pPr>
        <w:rPr>
          <w:b/>
          <w:sz w:val="20"/>
        </w:rPr>
      </w:pPr>
    </w:p>
    <w:p w:rsidR="00577741" w:rsidRDefault="00577741">
      <w:pPr>
        <w:rPr>
          <w:b/>
          <w:sz w:val="20"/>
        </w:rPr>
      </w:pPr>
    </w:p>
    <w:p w:rsidR="00577741" w:rsidRDefault="00577741">
      <w:pPr>
        <w:spacing w:before="11"/>
        <w:rPr>
          <w:b/>
          <w:sz w:val="18"/>
        </w:rPr>
      </w:pPr>
    </w:p>
    <w:p w:rsidR="00577741" w:rsidRDefault="00362DB3">
      <w:pPr>
        <w:ind w:left="300" w:right="10661"/>
      </w:pPr>
      <w:r>
        <w:rPr>
          <w:b/>
        </w:rPr>
        <w:t xml:space="preserve">Contractors in Attendance: </w:t>
      </w:r>
      <w:r>
        <w:t>Katie Wilbers, Pharm D, Xerox Josh Moore, Pharm D, Xerox Luke Boehmer, Pharm D, Xerox Rick Pope, Pharm D, Magellan</w:t>
      </w:r>
    </w:p>
    <w:p w:rsidR="00577741" w:rsidRDefault="00577741">
      <w:pPr>
        <w:rPr>
          <w:sz w:val="20"/>
        </w:rPr>
      </w:pPr>
    </w:p>
    <w:p w:rsidR="00577741" w:rsidRDefault="00577741">
      <w:pPr>
        <w:rPr>
          <w:sz w:val="20"/>
        </w:rPr>
      </w:pPr>
    </w:p>
    <w:p w:rsidR="00577741" w:rsidRDefault="00577741">
      <w:pPr>
        <w:spacing w:before="2"/>
        <w:rPr>
          <w:sz w:val="10"/>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70"/>
        <w:gridCol w:w="4521"/>
        <w:gridCol w:w="3348"/>
      </w:tblGrid>
      <w:tr w:rsidR="00577741">
        <w:trPr>
          <w:trHeight w:hRule="exact" w:val="251"/>
        </w:trPr>
        <w:tc>
          <w:tcPr>
            <w:tcW w:w="4070" w:type="dxa"/>
          </w:tcPr>
          <w:p w:rsidR="00577741" w:rsidRDefault="00362DB3">
            <w:pPr>
              <w:pStyle w:val="TableParagraph"/>
              <w:spacing w:line="247" w:lineRule="exact"/>
              <w:ind w:left="200"/>
              <w:rPr>
                <w:b/>
              </w:rPr>
            </w:pPr>
            <w:r>
              <w:rPr>
                <w:b/>
              </w:rPr>
              <w:t>Others Attending:</w:t>
            </w:r>
          </w:p>
        </w:tc>
        <w:tc>
          <w:tcPr>
            <w:tcW w:w="4521" w:type="dxa"/>
          </w:tcPr>
          <w:p w:rsidR="00577741" w:rsidRDefault="00577741"/>
        </w:tc>
        <w:tc>
          <w:tcPr>
            <w:tcW w:w="3348" w:type="dxa"/>
          </w:tcPr>
          <w:p w:rsidR="00577741" w:rsidRDefault="00577741"/>
        </w:tc>
      </w:tr>
      <w:tr w:rsidR="00577741">
        <w:trPr>
          <w:trHeight w:hRule="exact" w:val="2277"/>
        </w:trPr>
        <w:tc>
          <w:tcPr>
            <w:tcW w:w="4070" w:type="dxa"/>
          </w:tcPr>
          <w:p w:rsidR="00577741" w:rsidRDefault="00362DB3">
            <w:pPr>
              <w:pStyle w:val="TableParagraph"/>
              <w:spacing w:line="242" w:lineRule="auto"/>
              <w:ind w:left="200" w:right="2051"/>
            </w:pPr>
            <w:r>
              <w:t>Rob Kilo, Biogen Matt Seibt, Biogen</w:t>
            </w:r>
          </w:p>
          <w:p w:rsidR="00577741" w:rsidRDefault="00362DB3">
            <w:pPr>
              <w:pStyle w:val="TableParagraph"/>
              <w:spacing w:before="2" w:line="250" w:lineRule="exact"/>
              <w:ind w:left="200"/>
            </w:pPr>
            <w:r>
              <w:t>Robert Robey, Indivior</w:t>
            </w:r>
          </w:p>
          <w:p w:rsidR="00577741" w:rsidRDefault="00362DB3">
            <w:pPr>
              <w:pStyle w:val="TableParagraph"/>
              <w:spacing w:before="1"/>
              <w:ind w:left="200" w:right="327"/>
            </w:pPr>
            <w:r>
              <w:t>Jerod Downing, Purdue Pharma, LP Chet Steckler, Purdue Pharma, LP Mike LaFond, Abbvie</w:t>
            </w:r>
          </w:p>
          <w:p w:rsidR="00577741" w:rsidRDefault="00362DB3">
            <w:pPr>
              <w:pStyle w:val="TableParagraph"/>
              <w:spacing w:before="1"/>
              <w:ind w:left="200" w:right="2064"/>
            </w:pPr>
            <w:r>
              <w:t>Steve Naert, Lilly John Kirby, Sanofi</w:t>
            </w:r>
          </w:p>
          <w:p w:rsidR="00577741" w:rsidRDefault="00362DB3">
            <w:pPr>
              <w:pStyle w:val="TableParagraph"/>
              <w:spacing w:before="1"/>
              <w:ind w:left="200"/>
            </w:pPr>
            <w:r>
              <w:t>Mary Jo DeFlorio, Janssen</w:t>
            </w:r>
          </w:p>
        </w:tc>
        <w:tc>
          <w:tcPr>
            <w:tcW w:w="4521" w:type="dxa"/>
          </w:tcPr>
          <w:p w:rsidR="00577741" w:rsidRDefault="00362DB3">
            <w:pPr>
              <w:pStyle w:val="TableParagraph"/>
              <w:spacing w:line="242" w:lineRule="auto"/>
              <w:ind w:left="343" w:right="1908"/>
            </w:pPr>
            <w:r>
              <w:t>Derele Bush, AGN Taylor Bradshaw, AGN</w:t>
            </w:r>
          </w:p>
          <w:p w:rsidR="00577741" w:rsidRDefault="00362DB3">
            <w:pPr>
              <w:pStyle w:val="TableParagraph"/>
              <w:ind w:left="343" w:right="574"/>
            </w:pPr>
            <w:r>
              <w:t>Patrick Parikh, Sarepta Therapeutics Patrick Wies, Sarepta Therapeutics Kelly Smallmon, SLU School of Law Jimi Road, Novartis</w:t>
            </w:r>
          </w:p>
          <w:p w:rsidR="00577741" w:rsidRDefault="00362DB3">
            <w:pPr>
              <w:pStyle w:val="TableParagraph"/>
              <w:spacing w:before="2"/>
              <w:ind w:left="343" w:right="1748"/>
            </w:pPr>
            <w:r>
              <w:t>Rose Mullen, Alkermes Evan Rushing, Alkermes</w:t>
            </w:r>
          </w:p>
          <w:p w:rsidR="00577741" w:rsidRDefault="00362DB3">
            <w:pPr>
              <w:pStyle w:val="TableParagraph"/>
              <w:spacing w:before="1"/>
              <w:ind w:left="343"/>
            </w:pPr>
            <w:r>
              <w:t>Liz Weber, Rhoads Company</w:t>
            </w:r>
          </w:p>
        </w:tc>
        <w:tc>
          <w:tcPr>
            <w:tcW w:w="3348" w:type="dxa"/>
          </w:tcPr>
          <w:p w:rsidR="00577741" w:rsidRDefault="00362DB3">
            <w:pPr>
              <w:pStyle w:val="TableParagraph"/>
              <w:ind w:left="591" w:right="425"/>
            </w:pPr>
            <w:r>
              <w:t>Brian Strickland, Gilead Mike Holmes, Sunovion Todd Herman, Merck Phil King, Pfizer</w:t>
            </w:r>
          </w:p>
          <w:p w:rsidR="00577741" w:rsidRDefault="00362DB3">
            <w:pPr>
              <w:pStyle w:val="TableParagraph"/>
              <w:spacing w:before="1"/>
              <w:ind w:left="591" w:right="180"/>
            </w:pPr>
            <w:r>
              <w:t>Geri Roling, Wipro Chelsea Pendleton, Wipro</w:t>
            </w:r>
          </w:p>
        </w:tc>
      </w:tr>
    </w:tbl>
    <w:p w:rsidR="00577741" w:rsidRDefault="00577741">
      <w:pPr>
        <w:rPr>
          <w:sz w:val="24"/>
        </w:rPr>
      </w:pPr>
    </w:p>
    <w:p w:rsidR="00577741" w:rsidRDefault="00577741">
      <w:pPr>
        <w:rPr>
          <w:sz w:val="24"/>
        </w:rPr>
      </w:pPr>
    </w:p>
    <w:p w:rsidR="00577741" w:rsidRDefault="00577741">
      <w:pPr>
        <w:spacing w:before="1"/>
        <w:rPr>
          <w:sz w:val="34"/>
        </w:rPr>
      </w:pPr>
    </w:p>
    <w:p w:rsidR="00577741" w:rsidRDefault="00362DB3">
      <w:pPr>
        <w:ind w:left="300"/>
      </w:pPr>
      <w:r>
        <w:t>Sign-in sheet on file for review.</w:t>
      </w:r>
    </w:p>
    <w:p w:rsidR="00577741" w:rsidRDefault="00577741">
      <w:pPr>
        <w:sectPr w:rsidR="00577741">
          <w:footerReference w:type="default" r:id="rId8"/>
          <w:type w:val="continuous"/>
          <w:pgSz w:w="15840" w:h="12240" w:orient="landscape"/>
          <w:pgMar w:top="1000" w:right="960" w:bottom="1060" w:left="780" w:header="720" w:footer="864" w:gutter="0"/>
          <w:pgNumType w:start="1"/>
          <w:cols w:space="720"/>
        </w:sectPr>
      </w:pPr>
    </w:p>
    <w:p w:rsidR="00577741" w:rsidRDefault="00577741">
      <w:pPr>
        <w:pStyle w:val="BodyText"/>
        <w:spacing w:before="8"/>
        <w:rPr>
          <w:rFonts w:ascii="Times New Roman"/>
          <w:b w:val="0"/>
          <w:sz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1"/>
        <w:gridCol w:w="10802"/>
      </w:tblGrid>
      <w:tr w:rsidR="00577741">
        <w:trPr>
          <w:trHeight w:hRule="exact" w:val="1022"/>
        </w:trPr>
        <w:tc>
          <w:tcPr>
            <w:tcW w:w="3461" w:type="dxa"/>
          </w:tcPr>
          <w:p w:rsidR="00577741" w:rsidRDefault="00362DB3">
            <w:pPr>
              <w:pStyle w:val="TableParagraph"/>
              <w:ind w:left="103" w:right="115"/>
              <w:rPr>
                <w:b/>
                <w:sz w:val="24"/>
              </w:rPr>
            </w:pPr>
            <w:r>
              <w:rPr>
                <w:b/>
                <w:sz w:val="24"/>
              </w:rPr>
              <w:t>Welcome, Introductions and Opening Remarks</w:t>
            </w:r>
          </w:p>
        </w:tc>
        <w:tc>
          <w:tcPr>
            <w:tcW w:w="10802" w:type="dxa"/>
          </w:tcPr>
          <w:p w:rsidR="00577741" w:rsidRDefault="00362DB3">
            <w:pPr>
              <w:pStyle w:val="TableParagraph"/>
              <w:ind w:left="103" w:right="251"/>
            </w:pPr>
            <w:r>
              <w:t>Conrad Balcer, D.O., Acting Committee Chairman, called the meeting to order. Stephen Calloway introduced Frances (Franki) Moseley as our new Administrative Office Support Assistant (AOSA) in the Pharmacy Program. Stephen Calloway welcomed a new PA committee member, Laura Kingsley, Pharm D. Dr. Kingsley is a pharmacist/owner at Kilgore’s Medical Pharmacy.</w:t>
            </w:r>
          </w:p>
        </w:tc>
      </w:tr>
      <w:tr w:rsidR="00577741">
        <w:trPr>
          <w:trHeight w:hRule="exact" w:val="516"/>
        </w:trPr>
        <w:tc>
          <w:tcPr>
            <w:tcW w:w="3461" w:type="dxa"/>
          </w:tcPr>
          <w:p w:rsidR="00577741" w:rsidRDefault="00362DB3">
            <w:pPr>
              <w:pStyle w:val="TableParagraph"/>
              <w:spacing w:line="272" w:lineRule="exact"/>
              <w:ind w:left="103"/>
              <w:rPr>
                <w:b/>
                <w:sz w:val="24"/>
              </w:rPr>
            </w:pPr>
            <w:r>
              <w:rPr>
                <w:b/>
                <w:sz w:val="24"/>
              </w:rPr>
              <w:t>Minutes Approval</w:t>
            </w:r>
          </w:p>
        </w:tc>
        <w:tc>
          <w:tcPr>
            <w:tcW w:w="10802" w:type="dxa"/>
          </w:tcPr>
          <w:p w:rsidR="00577741" w:rsidRDefault="00362DB3">
            <w:pPr>
              <w:pStyle w:val="TableParagraph"/>
              <w:spacing w:line="242" w:lineRule="auto"/>
              <w:ind w:left="103" w:right="251"/>
            </w:pPr>
            <w:r>
              <w:t>Minutes of the September 15, 2016, meeting were reviewed and approved. Laine Young-Walker, MD, motioned and Pat Bryant seconded the motion.  (See Roll Call Vote)</w:t>
            </w:r>
          </w:p>
        </w:tc>
      </w:tr>
      <w:tr w:rsidR="00577741">
        <w:trPr>
          <w:trHeight w:hRule="exact" w:val="1275"/>
        </w:trPr>
        <w:tc>
          <w:tcPr>
            <w:tcW w:w="3461" w:type="dxa"/>
          </w:tcPr>
          <w:p w:rsidR="00577741" w:rsidRDefault="00362DB3">
            <w:pPr>
              <w:pStyle w:val="TableParagraph"/>
              <w:ind w:left="103" w:right="234"/>
              <w:rPr>
                <w:b/>
                <w:sz w:val="24"/>
              </w:rPr>
            </w:pPr>
            <w:r>
              <w:rPr>
                <w:b/>
                <w:sz w:val="24"/>
              </w:rPr>
              <w:t>Pharmacy Program/Budget Update</w:t>
            </w:r>
          </w:p>
        </w:tc>
        <w:tc>
          <w:tcPr>
            <w:tcW w:w="10802" w:type="dxa"/>
          </w:tcPr>
          <w:p w:rsidR="00577741" w:rsidRDefault="00362DB3">
            <w:pPr>
              <w:pStyle w:val="TableParagraph"/>
              <w:ind w:left="103" w:right="151"/>
            </w:pPr>
            <w:r>
              <w:t>Stephen Calloway made a powerpoint presentation for the Committee. The presentation contained graphs representing historical and current expenditures, expenditures by enrollment group, age, and portion of MO HealthNet budget. Other program information was shared regarding top expenditures by drug classes, as well as specialty vs. non-specialty spending. Calloway shared information regarding other activities within MHD and the State budget.</w:t>
            </w:r>
          </w:p>
        </w:tc>
      </w:tr>
      <w:tr w:rsidR="00577741">
        <w:trPr>
          <w:trHeight w:hRule="exact" w:val="517"/>
        </w:trPr>
        <w:tc>
          <w:tcPr>
            <w:tcW w:w="3461" w:type="dxa"/>
          </w:tcPr>
          <w:p w:rsidR="00577741" w:rsidRDefault="00362DB3">
            <w:pPr>
              <w:pStyle w:val="TableParagraph"/>
              <w:spacing w:line="274" w:lineRule="exact"/>
              <w:ind w:left="103"/>
              <w:rPr>
                <w:b/>
                <w:sz w:val="24"/>
              </w:rPr>
            </w:pPr>
            <w:r>
              <w:rPr>
                <w:b/>
                <w:sz w:val="24"/>
              </w:rPr>
              <w:t>DUR Report</w:t>
            </w:r>
          </w:p>
        </w:tc>
        <w:tc>
          <w:tcPr>
            <w:tcW w:w="10802" w:type="dxa"/>
          </w:tcPr>
          <w:p w:rsidR="00577741" w:rsidRDefault="00362DB3">
            <w:pPr>
              <w:pStyle w:val="TableParagraph"/>
              <w:ind w:left="103" w:right="568"/>
            </w:pPr>
            <w:r>
              <w:t>Stephen Calloway stated all items from the September 2016 PA Committee Meeting were ratified by the DUR Board at their October 2016 meeting.</w:t>
            </w:r>
          </w:p>
        </w:tc>
      </w:tr>
      <w:tr w:rsidR="00577741">
        <w:trPr>
          <w:trHeight w:hRule="exact" w:val="287"/>
        </w:trPr>
        <w:tc>
          <w:tcPr>
            <w:tcW w:w="14263" w:type="dxa"/>
            <w:gridSpan w:val="2"/>
            <w:shd w:val="clear" w:color="auto" w:fill="D9D9D9"/>
          </w:tcPr>
          <w:p w:rsidR="00577741" w:rsidRDefault="00362DB3">
            <w:pPr>
              <w:pStyle w:val="TableParagraph"/>
              <w:spacing w:line="273" w:lineRule="exact"/>
              <w:ind w:left="103"/>
              <w:rPr>
                <w:b/>
                <w:sz w:val="24"/>
              </w:rPr>
            </w:pPr>
            <w:r>
              <w:rPr>
                <w:b/>
                <w:sz w:val="24"/>
              </w:rPr>
              <w:t>Old Business</w:t>
            </w:r>
          </w:p>
        </w:tc>
      </w:tr>
      <w:tr w:rsidR="00577741">
        <w:trPr>
          <w:trHeight w:hRule="exact" w:val="1274"/>
        </w:trPr>
        <w:tc>
          <w:tcPr>
            <w:tcW w:w="3461" w:type="dxa"/>
          </w:tcPr>
          <w:p w:rsidR="00577741" w:rsidRDefault="00362DB3">
            <w:pPr>
              <w:pStyle w:val="TableParagraph"/>
              <w:spacing w:line="272" w:lineRule="exact"/>
              <w:ind w:left="103"/>
              <w:rPr>
                <w:b/>
                <w:sz w:val="24"/>
              </w:rPr>
            </w:pPr>
            <w:r>
              <w:rPr>
                <w:b/>
                <w:sz w:val="24"/>
              </w:rPr>
              <w:t>Implementation Schedule</w:t>
            </w:r>
          </w:p>
        </w:tc>
        <w:tc>
          <w:tcPr>
            <w:tcW w:w="10802" w:type="dxa"/>
            <w:tcBorders>
              <w:bottom w:val="thinThickMediumGap" w:sz="7" w:space="0" w:color="000000"/>
            </w:tcBorders>
          </w:tcPr>
          <w:p w:rsidR="00577741" w:rsidRDefault="00362DB3">
            <w:pPr>
              <w:pStyle w:val="TableParagraph"/>
              <w:ind w:left="103" w:right="151"/>
            </w:pPr>
            <w:r>
              <w:t xml:space="preserve">An updated copy of the Proposed Implementation Schedule for Edits, including PDL classes was included in the Members’ meeting packet and provided as a handout to those in attendance. The schedule noted the Annual PDL therapeutic classes and Clinical Edits from September/October 2016 will be implemented in January 2017. PDL decisions from December/January will be implemented April 2017. Schedules may be found on the MHD web page at </w:t>
            </w:r>
            <w:hyperlink r:id="rId9">
              <w:r>
                <w:t>http://dss.missouri.gov/mhd/cs/pharmacy/impsched.pdf</w:t>
              </w:r>
            </w:hyperlink>
          </w:p>
        </w:tc>
      </w:tr>
      <w:tr w:rsidR="00577741">
        <w:trPr>
          <w:trHeight w:hRule="exact" w:val="350"/>
        </w:trPr>
        <w:tc>
          <w:tcPr>
            <w:tcW w:w="14263" w:type="dxa"/>
            <w:gridSpan w:val="2"/>
            <w:tcBorders>
              <w:top w:val="single" w:sz="7" w:space="0" w:color="000000"/>
            </w:tcBorders>
            <w:shd w:val="clear" w:color="auto" w:fill="D9D9D9"/>
          </w:tcPr>
          <w:p w:rsidR="00577741" w:rsidRDefault="00362DB3">
            <w:pPr>
              <w:pStyle w:val="TableParagraph"/>
              <w:spacing w:before="23"/>
              <w:ind w:left="103"/>
              <w:rPr>
                <w:b/>
                <w:sz w:val="24"/>
              </w:rPr>
            </w:pPr>
            <w:r>
              <w:rPr>
                <w:b/>
                <w:sz w:val="24"/>
              </w:rPr>
              <w:t>New Business</w:t>
            </w:r>
          </w:p>
        </w:tc>
      </w:tr>
      <w:tr w:rsidR="00577741">
        <w:trPr>
          <w:trHeight w:hRule="exact" w:val="1832"/>
        </w:trPr>
        <w:tc>
          <w:tcPr>
            <w:tcW w:w="3461" w:type="dxa"/>
          </w:tcPr>
          <w:p w:rsidR="00577741" w:rsidRDefault="00362DB3">
            <w:pPr>
              <w:pStyle w:val="TableParagraph"/>
              <w:spacing w:line="272" w:lineRule="exact"/>
              <w:ind w:left="103"/>
              <w:rPr>
                <w:b/>
                <w:sz w:val="24"/>
              </w:rPr>
            </w:pPr>
            <w:r>
              <w:rPr>
                <w:b/>
                <w:sz w:val="24"/>
              </w:rPr>
              <w:t>New Drug Review</w:t>
            </w:r>
          </w:p>
        </w:tc>
        <w:tc>
          <w:tcPr>
            <w:tcW w:w="10802" w:type="dxa"/>
          </w:tcPr>
          <w:p w:rsidR="00577741" w:rsidRDefault="00362DB3">
            <w:pPr>
              <w:pStyle w:val="TableParagraph"/>
              <w:ind w:left="103" w:right="1044"/>
            </w:pPr>
            <w:r>
              <w:t>Stephen Calloway reviewed the new drug products that were identified for the quarter July, August, September 2016 and the recommended status within the clinical program.</w:t>
            </w:r>
          </w:p>
          <w:p w:rsidR="00577741" w:rsidRDefault="00362DB3">
            <w:pPr>
              <w:pStyle w:val="TableParagraph"/>
              <w:numPr>
                <w:ilvl w:val="0"/>
                <w:numId w:val="18"/>
              </w:numPr>
              <w:tabs>
                <w:tab w:val="left" w:pos="329"/>
              </w:tabs>
              <w:ind w:right="362" w:firstLine="0"/>
            </w:pPr>
            <w:r>
              <w:rPr>
                <w:b/>
              </w:rPr>
              <w:t xml:space="preserve">Discussion – </w:t>
            </w:r>
            <w:r>
              <w:t>A listing of products recommended for open access, clinical edit, preferred drug list</w:t>
            </w:r>
            <w:r>
              <w:rPr>
                <w:spacing w:val="-35"/>
              </w:rPr>
              <w:t xml:space="preserve"> </w:t>
            </w:r>
            <w:r>
              <w:t>(PDL) product, or continued prior authorization was provided in the Members’ meeting packet for discussion and action.  This listing was also provided as a handout to all</w:t>
            </w:r>
            <w:r>
              <w:rPr>
                <w:spacing w:val="-19"/>
              </w:rPr>
              <w:t xml:space="preserve"> </w:t>
            </w:r>
            <w:r>
              <w:t>attending.</w:t>
            </w:r>
          </w:p>
          <w:p w:rsidR="00577741" w:rsidRDefault="00362DB3">
            <w:pPr>
              <w:pStyle w:val="TableParagraph"/>
              <w:numPr>
                <w:ilvl w:val="0"/>
                <w:numId w:val="18"/>
              </w:numPr>
              <w:tabs>
                <w:tab w:val="left" w:pos="329"/>
              </w:tabs>
              <w:spacing w:line="268" w:lineRule="exact"/>
              <w:ind w:left="328" w:hanging="225"/>
            </w:pPr>
            <w:r>
              <w:rPr>
                <w:b/>
              </w:rPr>
              <w:t xml:space="preserve">Public Hearing – </w:t>
            </w:r>
            <w:r>
              <w:t>Patrick Moss, Sarepta presented information on Exondys</w:t>
            </w:r>
            <w:r>
              <w:rPr>
                <w:spacing w:val="-25"/>
              </w:rPr>
              <w:t xml:space="preserve"> </w:t>
            </w:r>
            <w:r>
              <w:t>51.</w:t>
            </w:r>
          </w:p>
          <w:p w:rsidR="00577741" w:rsidRDefault="00362DB3">
            <w:pPr>
              <w:pStyle w:val="TableParagraph"/>
              <w:numPr>
                <w:ilvl w:val="0"/>
                <w:numId w:val="18"/>
              </w:numPr>
              <w:tabs>
                <w:tab w:val="left" w:pos="329"/>
              </w:tabs>
              <w:spacing w:line="269" w:lineRule="exact"/>
              <w:ind w:left="328" w:hanging="225"/>
            </w:pPr>
            <w:r>
              <w:rPr>
                <w:b/>
              </w:rPr>
              <w:t xml:space="preserve">Decision – </w:t>
            </w:r>
            <w:r>
              <w:t>Members voted to accept the new drug recommendations as presented. (See Roll Call</w:t>
            </w:r>
            <w:r>
              <w:rPr>
                <w:spacing w:val="-27"/>
              </w:rPr>
              <w:t xml:space="preserve"> </w:t>
            </w:r>
            <w:r>
              <w:t>Vote)</w:t>
            </w:r>
          </w:p>
        </w:tc>
      </w:tr>
    </w:tbl>
    <w:p w:rsidR="00577741" w:rsidRDefault="00577741">
      <w:pPr>
        <w:pStyle w:val="BodyText"/>
        <w:rPr>
          <w:rFonts w:ascii="Times New Roman"/>
          <w:b w:val="0"/>
          <w:sz w:val="20"/>
        </w:rPr>
      </w:pPr>
    </w:p>
    <w:p w:rsidR="00577741" w:rsidRDefault="00577741">
      <w:pPr>
        <w:pStyle w:val="BodyText"/>
        <w:spacing w:before="11"/>
        <w:rPr>
          <w:rFonts w:ascii="Times New Roman"/>
          <w:b w:val="0"/>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0"/>
        <w:gridCol w:w="10823"/>
      </w:tblGrid>
      <w:tr w:rsidR="00577741">
        <w:trPr>
          <w:trHeight w:hRule="exact" w:val="352"/>
        </w:trPr>
        <w:tc>
          <w:tcPr>
            <w:tcW w:w="14263" w:type="dxa"/>
            <w:gridSpan w:val="2"/>
            <w:tcBorders>
              <w:bottom w:val="single" w:sz="4" w:space="0" w:color="000000"/>
            </w:tcBorders>
            <w:shd w:val="clear" w:color="auto" w:fill="D9D9D9"/>
          </w:tcPr>
          <w:p w:rsidR="00577741" w:rsidRDefault="00362DB3">
            <w:pPr>
              <w:pStyle w:val="TableParagraph"/>
              <w:spacing w:before="28"/>
              <w:ind w:left="103"/>
              <w:rPr>
                <w:b/>
                <w:sz w:val="24"/>
              </w:rPr>
            </w:pPr>
            <w:r>
              <w:rPr>
                <w:b/>
                <w:sz w:val="24"/>
              </w:rPr>
              <w:t>Clinical Edits</w:t>
            </w:r>
          </w:p>
        </w:tc>
      </w:tr>
      <w:tr w:rsidR="00577741">
        <w:trPr>
          <w:trHeight w:hRule="exact" w:val="1577"/>
        </w:trPr>
        <w:tc>
          <w:tcPr>
            <w:tcW w:w="3440" w:type="dxa"/>
            <w:tcBorders>
              <w:top w:val="single" w:sz="4" w:space="0" w:color="000000"/>
            </w:tcBorders>
          </w:tcPr>
          <w:p w:rsidR="00577741" w:rsidRDefault="00362DB3">
            <w:pPr>
              <w:pStyle w:val="TableParagraph"/>
              <w:ind w:left="103" w:right="136"/>
              <w:rPr>
                <w:b/>
              </w:rPr>
            </w:pPr>
            <w:r>
              <w:rPr>
                <w:b/>
              </w:rPr>
              <w:t>Short-Acting and Short-Acting Combination Narcotics Clinical Edit</w:t>
            </w:r>
          </w:p>
        </w:tc>
        <w:tc>
          <w:tcPr>
            <w:tcW w:w="10823" w:type="dxa"/>
            <w:tcBorders>
              <w:top w:val="single" w:sz="4" w:space="0" w:color="000000"/>
            </w:tcBorders>
          </w:tcPr>
          <w:p w:rsidR="00577741" w:rsidRDefault="00362DB3">
            <w:pPr>
              <w:pStyle w:val="TableParagraph"/>
              <w:numPr>
                <w:ilvl w:val="0"/>
                <w:numId w:val="17"/>
              </w:numPr>
              <w:tabs>
                <w:tab w:val="left" w:pos="327"/>
              </w:tabs>
              <w:ind w:right="252" w:firstLine="0"/>
            </w:pPr>
            <w:r>
              <w:rPr>
                <w:b/>
              </w:rPr>
              <w:t xml:space="preserve">Discussion – </w:t>
            </w:r>
            <w:r>
              <w:t>Mr. Calloway reviewed the Clinical Edit proposal, along with transaction information on projected claims and call center impact. The Edits include a 7-Day Supply limit for New Opiate prescriptions and a reduction in morphine-equivalent dosages. February 2017 was proposed for implementation of the edit, but the date is</w:t>
            </w:r>
            <w:r>
              <w:rPr>
                <w:spacing w:val="-14"/>
              </w:rPr>
              <w:t xml:space="preserve"> </w:t>
            </w:r>
            <w:r>
              <w:t>flexible.</w:t>
            </w:r>
          </w:p>
          <w:p w:rsidR="00577741" w:rsidRDefault="00362DB3">
            <w:pPr>
              <w:pStyle w:val="TableParagraph"/>
              <w:numPr>
                <w:ilvl w:val="0"/>
                <w:numId w:val="17"/>
              </w:numPr>
              <w:tabs>
                <w:tab w:val="left" w:pos="327"/>
              </w:tabs>
              <w:spacing w:before="2" w:line="268" w:lineRule="exact"/>
              <w:ind w:left="326"/>
            </w:pPr>
            <w:r>
              <w:rPr>
                <w:b/>
              </w:rPr>
              <w:t xml:space="preserve">Public Hearing – </w:t>
            </w:r>
            <w:r>
              <w:t>No comments</w:t>
            </w:r>
            <w:r>
              <w:rPr>
                <w:spacing w:val="-11"/>
              </w:rPr>
              <w:t xml:space="preserve"> </w:t>
            </w:r>
            <w:r>
              <w:t>entered.</w:t>
            </w:r>
          </w:p>
          <w:p w:rsidR="00577741" w:rsidRDefault="00362DB3">
            <w:pPr>
              <w:pStyle w:val="TableParagraph"/>
              <w:numPr>
                <w:ilvl w:val="0"/>
                <w:numId w:val="17"/>
              </w:numPr>
              <w:tabs>
                <w:tab w:val="left" w:pos="327"/>
              </w:tabs>
              <w:spacing w:before="1"/>
              <w:ind w:left="326"/>
            </w:pPr>
            <w:r>
              <w:rPr>
                <w:b/>
              </w:rPr>
              <w:t xml:space="preserve">Decision – </w:t>
            </w:r>
            <w:r>
              <w:t>After discussion of proposed criteria the clinical edit was approved. (See Roll Call</w:t>
            </w:r>
            <w:r>
              <w:rPr>
                <w:spacing w:val="-23"/>
              </w:rPr>
              <w:t xml:space="preserve"> </w:t>
            </w:r>
            <w:r>
              <w:t>Vote)</w:t>
            </w:r>
          </w:p>
        </w:tc>
      </w:tr>
    </w:tbl>
    <w:p w:rsidR="00577741" w:rsidRDefault="00577741">
      <w:pPr>
        <w:sectPr w:rsidR="00577741">
          <w:pgSz w:w="15840" w:h="12240" w:orient="landscape"/>
          <w:pgMar w:top="1140" w:right="480" w:bottom="1060" w:left="860" w:header="0" w:footer="864" w:gutter="0"/>
          <w:cols w:space="720"/>
        </w:sectPr>
      </w:pPr>
    </w:p>
    <w:tbl>
      <w:tblPr>
        <w:tblpPr w:leftFromText="180" w:rightFromText="180" w:vertAnchor="page" w:horzAnchor="margin" w:tblpY="11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50"/>
        <w:gridCol w:w="10813"/>
      </w:tblGrid>
      <w:tr w:rsidR="00843681" w:rsidTr="00843681">
        <w:trPr>
          <w:trHeight w:hRule="exact" w:val="819"/>
        </w:trPr>
        <w:tc>
          <w:tcPr>
            <w:tcW w:w="3450" w:type="dxa"/>
          </w:tcPr>
          <w:p w:rsidR="00843681" w:rsidRDefault="00843681" w:rsidP="00843681">
            <w:pPr>
              <w:pStyle w:val="TableParagraph"/>
              <w:spacing w:line="248" w:lineRule="exact"/>
              <w:ind w:left="103"/>
              <w:rPr>
                <w:b/>
              </w:rPr>
            </w:pPr>
            <w:r>
              <w:rPr>
                <w:b/>
              </w:rPr>
              <w:lastRenderedPageBreak/>
              <w:t>Botulinium Toxin Type A</w:t>
            </w:r>
          </w:p>
        </w:tc>
        <w:tc>
          <w:tcPr>
            <w:tcW w:w="10813" w:type="dxa"/>
          </w:tcPr>
          <w:p w:rsidR="00843681" w:rsidRDefault="00843681" w:rsidP="00843681">
            <w:pPr>
              <w:pStyle w:val="TableParagraph"/>
              <w:numPr>
                <w:ilvl w:val="0"/>
                <w:numId w:val="16"/>
              </w:numPr>
              <w:tabs>
                <w:tab w:val="left" w:pos="316"/>
              </w:tabs>
              <w:spacing w:line="267" w:lineRule="exact"/>
              <w:ind w:hanging="225"/>
            </w:pPr>
            <w:r>
              <w:rPr>
                <w:b/>
              </w:rPr>
              <w:t xml:space="preserve">Discussion – </w:t>
            </w:r>
            <w:r>
              <w:t>Dr. Roaseau reviewed the Clinical Edit proposal, including approval and denial</w:t>
            </w:r>
            <w:r>
              <w:rPr>
                <w:spacing w:val="-25"/>
              </w:rPr>
              <w:t xml:space="preserve"> </w:t>
            </w:r>
            <w:r>
              <w:t>criteria.</w:t>
            </w:r>
          </w:p>
          <w:p w:rsidR="00843681" w:rsidRDefault="00843681" w:rsidP="00843681">
            <w:pPr>
              <w:pStyle w:val="TableParagraph"/>
              <w:numPr>
                <w:ilvl w:val="0"/>
                <w:numId w:val="16"/>
              </w:numPr>
              <w:tabs>
                <w:tab w:val="left" w:pos="316"/>
              </w:tabs>
              <w:ind w:hanging="225"/>
            </w:pPr>
            <w:r>
              <w:rPr>
                <w:b/>
              </w:rPr>
              <w:t xml:space="preserve">Public Hearing – </w:t>
            </w:r>
            <w:r>
              <w:t>No comments</w:t>
            </w:r>
            <w:r>
              <w:rPr>
                <w:spacing w:val="-11"/>
              </w:rPr>
              <w:t xml:space="preserve"> </w:t>
            </w:r>
            <w:r>
              <w:t>entered.</w:t>
            </w:r>
          </w:p>
          <w:p w:rsidR="00843681" w:rsidRDefault="00843681" w:rsidP="00843681">
            <w:pPr>
              <w:pStyle w:val="TableParagraph"/>
              <w:numPr>
                <w:ilvl w:val="0"/>
                <w:numId w:val="16"/>
              </w:numPr>
              <w:tabs>
                <w:tab w:val="left" w:pos="316"/>
              </w:tabs>
              <w:spacing w:before="2"/>
              <w:ind w:hanging="225"/>
            </w:pPr>
            <w:r>
              <w:rPr>
                <w:b/>
              </w:rPr>
              <w:t xml:space="preserve">Decision – </w:t>
            </w:r>
            <w:r>
              <w:t>The Committee voted to accept this clinical edit as presented. (See Roll Call</w:t>
            </w:r>
            <w:r>
              <w:rPr>
                <w:spacing w:val="-29"/>
              </w:rPr>
              <w:t xml:space="preserve"> </w:t>
            </w:r>
            <w:r>
              <w:t>Vote)</w:t>
            </w:r>
          </w:p>
        </w:tc>
      </w:tr>
      <w:tr w:rsidR="00843681" w:rsidTr="00843681">
        <w:trPr>
          <w:trHeight w:hRule="exact" w:val="350"/>
        </w:trPr>
        <w:tc>
          <w:tcPr>
            <w:tcW w:w="14263" w:type="dxa"/>
            <w:gridSpan w:val="2"/>
            <w:shd w:val="clear" w:color="auto" w:fill="D9D9D9"/>
          </w:tcPr>
          <w:p w:rsidR="00843681" w:rsidRDefault="00843681" w:rsidP="00843681">
            <w:pPr>
              <w:pStyle w:val="TableParagraph"/>
              <w:spacing w:before="29"/>
              <w:ind w:left="103"/>
              <w:rPr>
                <w:b/>
                <w:sz w:val="24"/>
              </w:rPr>
            </w:pPr>
            <w:r>
              <w:rPr>
                <w:b/>
                <w:sz w:val="24"/>
              </w:rPr>
              <w:t>Preferred Drug List (PDL) Annual Renewals</w:t>
            </w:r>
          </w:p>
        </w:tc>
      </w:tr>
      <w:tr w:rsidR="00843681" w:rsidTr="00843681">
        <w:trPr>
          <w:trHeight w:hRule="exact" w:val="820"/>
        </w:trPr>
        <w:tc>
          <w:tcPr>
            <w:tcW w:w="3450" w:type="dxa"/>
          </w:tcPr>
          <w:p w:rsidR="00843681" w:rsidRDefault="00843681" w:rsidP="00843681">
            <w:pPr>
              <w:pStyle w:val="TableParagraph"/>
              <w:spacing w:line="248" w:lineRule="exact"/>
              <w:ind w:left="103"/>
              <w:rPr>
                <w:b/>
              </w:rPr>
            </w:pPr>
            <w:r>
              <w:rPr>
                <w:b/>
              </w:rPr>
              <w:t>Alzheimer’s Agents</w:t>
            </w:r>
          </w:p>
        </w:tc>
        <w:tc>
          <w:tcPr>
            <w:tcW w:w="10813" w:type="dxa"/>
          </w:tcPr>
          <w:p w:rsidR="00843681" w:rsidRDefault="00843681" w:rsidP="00843681">
            <w:pPr>
              <w:pStyle w:val="TableParagraph"/>
              <w:numPr>
                <w:ilvl w:val="0"/>
                <w:numId w:val="15"/>
              </w:numPr>
              <w:tabs>
                <w:tab w:val="left" w:pos="340"/>
              </w:tabs>
              <w:spacing w:line="267" w:lineRule="exact"/>
              <w:ind w:hanging="225"/>
            </w:pPr>
            <w:r>
              <w:rPr>
                <w:b/>
              </w:rPr>
              <w:t xml:space="preserve">Discussion – </w:t>
            </w:r>
            <w:r>
              <w:t>Mr. Calloway stated there are no changes recommended for this</w:t>
            </w:r>
            <w:r>
              <w:rPr>
                <w:spacing w:val="-25"/>
              </w:rPr>
              <w:t xml:space="preserve"> </w:t>
            </w:r>
            <w:r>
              <w:t>class.</w:t>
            </w:r>
          </w:p>
          <w:p w:rsidR="00843681" w:rsidRDefault="00843681" w:rsidP="00843681">
            <w:pPr>
              <w:pStyle w:val="TableParagraph"/>
              <w:numPr>
                <w:ilvl w:val="0"/>
                <w:numId w:val="15"/>
              </w:numPr>
              <w:tabs>
                <w:tab w:val="left" w:pos="340"/>
              </w:tabs>
              <w:spacing w:before="1" w:line="269" w:lineRule="exact"/>
              <w:ind w:hanging="225"/>
            </w:pPr>
            <w:r>
              <w:rPr>
                <w:b/>
              </w:rPr>
              <w:t xml:space="preserve">Public Hearing – </w:t>
            </w:r>
            <w:r>
              <w:t>No comments were</w:t>
            </w:r>
            <w:r>
              <w:rPr>
                <w:spacing w:val="-13"/>
              </w:rPr>
              <w:t xml:space="preserve"> </w:t>
            </w:r>
            <w:r>
              <w:t>entered.</w:t>
            </w:r>
          </w:p>
          <w:p w:rsidR="00843681" w:rsidRDefault="00843681" w:rsidP="00843681">
            <w:pPr>
              <w:pStyle w:val="TableParagraph"/>
              <w:numPr>
                <w:ilvl w:val="0"/>
                <w:numId w:val="15"/>
              </w:numPr>
              <w:tabs>
                <w:tab w:val="left" w:pos="340"/>
              </w:tabs>
              <w:spacing w:line="269" w:lineRule="exact"/>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1072"/>
        </w:trPr>
        <w:tc>
          <w:tcPr>
            <w:tcW w:w="3450" w:type="dxa"/>
          </w:tcPr>
          <w:p w:rsidR="00843681" w:rsidRDefault="00843681" w:rsidP="00843681">
            <w:pPr>
              <w:pStyle w:val="TableParagraph"/>
              <w:spacing w:line="249" w:lineRule="exact"/>
              <w:ind w:left="103"/>
              <w:rPr>
                <w:b/>
              </w:rPr>
            </w:pPr>
            <w:r>
              <w:rPr>
                <w:b/>
              </w:rPr>
              <w:t>Antiemetic Agents</w:t>
            </w:r>
          </w:p>
        </w:tc>
        <w:tc>
          <w:tcPr>
            <w:tcW w:w="10813" w:type="dxa"/>
          </w:tcPr>
          <w:p w:rsidR="00843681" w:rsidRDefault="00843681" w:rsidP="00843681">
            <w:pPr>
              <w:pStyle w:val="TableParagraph"/>
              <w:numPr>
                <w:ilvl w:val="0"/>
                <w:numId w:val="14"/>
              </w:numPr>
              <w:tabs>
                <w:tab w:val="left" w:pos="340"/>
              </w:tabs>
              <w:ind w:right="102" w:hanging="259"/>
            </w:pPr>
            <w:r>
              <w:rPr>
                <w:b/>
              </w:rPr>
              <w:t xml:space="preserve">Discussion – </w:t>
            </w:r>
            <w:r>
              <w:t>Mr. Calloway reviewed the criteria document, reviewing preferred and non-preferred agents. One drug previously included in this category was moved to the GI Motility Agents</w:t>
            </w:r>
            <w:r>
              <w:rPr>
                <w:spacing w:val="-34"/>
              </w:rPr>
              <w:t xml:space="preserve"> </w:t>
            </w:r>
            <w:r>
              <w:t>PDL.</w:t>
            </w:r>
          </w:p>
          <w:p w:rsidR="00843681" w:rsidRDefault="00843681" w:rsidP="00843681">
            <w:pPr>
              <w:pStyle w:val="TableParagraph"/>
              <w:numPr>
                <w:ilvl w:val="0"/>
                <w:numId w:val="14"/>
              </w:numPr>
              <w:tabs>
                <w:tab w:val="left" w:pos="340"/>
              </w:tabs>
              <w:spacing w:before="1" w:line="268" w:lineRule="exact"/>
              <w:ind w:left="339" w:hanging="225"/>
            </w:pPr>
            <w:r>
              <w:rPr>
                <w:b/>
              </w:rPr>
              <w:t xml:space="preserve">Public Hearing – </w:t>
            </w:r>
            <w:r>
              <w:t>No Comments</w:t>
            </w:r>
            <w:r>
              <w:rPr>
                <w:spacing w:val="-13"/>
              </w:rPr>
              <w:t xml:space="preserve"> </w:t>
            </w:r>
            <w:r>
              <w:t>Entered.</w:t>
            </w:r>
          </w:p>
          <w:p w:rsidR="00843681" w:rsidRDefault="00843681" w:rsidP="00843681">
            <w:pPr>
              <w:pStyle w:val="TableParagraph"/>
              <w:numPr>
                <w:ilvl w:val="0"/>
                <w:numId w:val="14"/>
              </w:numPr>
              <w:tabs>
                <w:tab w:val="left" w:pos="340"/>
              </w:tabs>
              <w:spacing w:before="1"/>
              <w:ind w:left="339"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18"/>
        </w:trPr>
        <w:tc>
          <w:tcPr>
            <w:tcW w:w="3450" w:type="dxa"/>
          </w:tcPr>
          <w:p w:rsidR="00843681" w:rsidRDefault="00843681" w:rsidP="00843681">
            <w:pPr>
              <w:pStyle w:val="TableParagraph"/>
              <w:spacing w:line="248" w:lineRule="exact"/>
              <w:ind w:left="103"/>
              <w:rPr>
                <w:b/>
              </w:rPr>
            </w:pPr>
            <w:r>
              <w:rPr>
                <w:b/>
              </w:rPr>
              <w:t>Cox-II Inhibitor Agents</w:t>
            </w:r>
          </w:p>
        </w:tc>
        <w:tc>
          <w:tcPr>
            <w:tcW w:w="10813" w:type="dxa"/>
          </w:tcPr>
          <w:p w:rsidR="00843681" w:rsidRDefault="00843681" w:rsidP="00843681">
            <w:pPr>
              <w:pStyle w:val="TableParagraph"/>
              <w:numPr>
                <w:ilvl w:val="0"/>
                <w:numId w:val="13"/>
              </w:numPr>
              <w:tabs>
                <w:tab w:val="left" w:pos="340"/>
              </w:tabs>
              <w:spacing w:line="266" w:lineRule="exact"/>
              <w:ind w:hanging="225"/>
            </w:pPr>
            <w:r>
              <w:rPr>
                <w:b/>
              </w:rPr>
              <w:t xml:space="preserve">Discussion – </w:t>
            </w:r>
            <w:r>
              <w:t>Mr. Calloway stated there are no changes recommended for this</w:t>
            </w:r>
            <w:r>
              <w:rPr>
                <w:spacing w:val="-26"/>
              </w:rPr>
              <w:t xml:space="preserve"> </w:t>
            </w:r>
            <w:r>
              <w:t>class.</w:t>
            </w:r>
          </w:p>
          <w:p w:rsidR="00843681" w:rsidRDefault="00843681" w:rsidP="00843681">
            <w:pPr>
              <w:pStyle w:val="TableParagraph"/>
              <w:numPr>
                <w:ilvl w:val="0"/>
                <w:numId w:val="13"/>
              </w:numPr>
              <w:tabs>
                <w:tab w:val="left" w:pos="340"/>
              </w:tabs>
              <w:spacing w:line="269" w:lineRule="exact"/>
              <w:ind w:hanging="225"/>
            </w:pPr>
            <w:r>
              <w:rPr>
                <w:b/>
              </w:rPr>
              <w:t xml:space="preserve">Public Hearing – </w:t>
            </w:r>
            <w:r>
              <w:t>No comments</w:t>
            </w:r>
            <w:r>
              <w:rPr>
                <w:spacing w:val="-11"/>
              </w:rPr>
              <w:t xml:space="preserve"> </w:t>
            </w:r>
            <w:r>
              <w:t>entered.</w:t>
            </w:r>
          </w:p>
          <w:p w:rsidR="00843681" w:rsidRDefault="00843681" w:rsidP="00843681">
            <w:pPr>
              <w:pStyle w:val="TableParagraph"/>
              <w:numPr>
                <w:ilvl w:val="0"/>
                <w:numId w:val="13"/>
              </w:numPr>
              <w:tabs>
                <w:tab w:val="left" w:pos="340"/>
              </w:tabs>
              <w:spacing w:before="1"/>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18"/>
        </w:trPr>
        <w:tc>
          <w:tcPr>
            <w:tcW w:w="3450" w:type="dxa"/>
          </w:tcPr>
          <w:p w:rsidR="00843681" w:rsidRDefault="00843681" w:rsidP="00843681">
            <w:pPr>
              <w:pStyle w:val="TableParagraph"/>
              <w:spacing w:line="248" w:lineRule="exact"/>
              <w:ind w:left="103"/>
              <w:rPr>
                <w:b/>
              </w:rPr>
            </w:pPr>
            <w:r>
              <w:rPr>
                <w:b/>
              </w:rPr>
              <w:t>Fibromyalgia Agents</w:t>
            </w:r>
          </w:p>
        </w:tc>
        <w:tc>
          <w:tcPr>
            <w:tcW w:w="10813" w:type="dxa"/>
          </w:tcPr>
          <w:p w:rsidR="00843681" w:rsidRDefault="00843681" w:rsidP="00843681">
            <w:pPr>
              <w:pStyle w:val="TableParagraph"/>
              <w:numPr>
                <w:ilvl w:val="0"/>
                <w:numId w:val="12"/>
              </w:numPr>
              <w:tabs>
                <w:tab w:val="left" w:pos="340"/>
              </w:tabs>
              <w:spacing w:line="266" w:lineRule="exact"/>
              <w:ind w:hanging="225"/>
            </w:pPr>
            <w:r>
              <w:rPr>
                <w:b/>
              </w:rPr>
              <w:t xml:space="preserve">Discussion – </w:t>
            </w:r>
            <w:r>
              <w:t>Mr. Calloway reviewed the criteria document, reviewing preferred and non-preferred</w:t>
            </w:r>
            <w:r>
              <w:rPr>
                <w:spacing w:val="-32"/>
              </w:rPr>
              <w:t xml:space="preserve"> </w:t>
            </w:r>
            <w:r>
              <w:t>agents.</w:t>
            </w:r>
          </w:p>
          <w:p w:rsidR="00843681" w:rsidRDefault="00843681" w:rsidP="00843681">
            <w:pPr>
              <w:pStyle w:val="TableParagraph"/>
              <w:numPr>
                <w:ilvl w:val="0"/>
                <w:numId w:val="12"/>
              </w:numPr>
              <w:tabs>
                <w:tab w:val="left" w:pos="340"/>
              </w:tabs>
              <w:spacing w:line="269" w:lineRule="exact"/>
              <w:ind w:hanging="225"/>
            </w:pPr>
            <w:r>
              <w:rPr>
                <w:b/>
              </w:rPr>
              <w:t xml:space="preserve">Public Hearing – </w:t>
            </w:r>
            <w:r>
              <w:t>No comments</w:t>
            </w:r>
            <w:r>
              <w:rPr>
                <w:spacing w:val="-12"/>
              </w:rPr>
              <w:t xml:space="preserve"> </w:t>
            </w:r>
            <w:r>
              <w:t>entered.</w:t>
            </w:r>
          </w:p>
          <w:p w:rsidR="00843681" w:rsidRDefault="00843681" w:rsidP="00843681">
            <w:pPr>
              <w:pStyle w:val="TableParagraph"/>
              <w:numPr>
                <w:ilvl w:val="0"/>
                <w:numId w:val="12"/>
              </w:numPr>
              <w:tabs>
                <w:tab w:val="left" w:pos="340"/>
              </w:tabs>
              <w:spacing w:before="1"/>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1577"/>
        </w:trPr>
        <w:tc>
          <w:tcPr>
            <w:tcW w:w="3450" w:type="dxa"/>
          </w:tcPr>
          <w:p w:rsidR="00843681" w:rsidRDefault="00843681" w:rsidP="00843681">
            <w:pPr>
              <w:pStyle w:val="TableParagraph"/>
              <w:spacing w:line="248" w:lineRule="exact"/>
              <w:ind w:left="103"/>
              <w:rPr>
                <w:b/>
              </w:rPr>
            </w:pPr>
            <w:r>
              <w:rPr>
                <w:b/>
              </w:rPr>
              <w:t>GI Motility Agents</w:t>
            </w:r>
          </w:p>
        </w:tc>
        <w:tc>
          <w:tcPr>
            <w:tcW w:w="10813" w:type="dxa"/>
          </w:tcPr>
          <w:p w:rsidR="00843681" w:rsidRDefault="00843681" w:rsidP="00843681">
            <w:pPr>
              <w:pStyle w:val="TableParagraph"/>
              <w:numPr>
                <w:ilvl w:val="0"/>
                <w:numId w:val="11"/>
              </w:numPr>
              <w:tabs>
                <w:tab w:val="left" w:pos="340"/>
              </w:tabs>
              <w:spacing w:before="15" w:line="254" w:lineRule="exact"/>
              <w:ind w:right="341" w:hanging="259"/>
            </w:pPr>
            <w:r>
              <w:rPr>
                <w:b/>
              </w:rPr>
              <w:t xml:space="preserve">Discussion – </w:t>
            </w:r>
            <w:r>
              <w:t>This is a new PDL Class and incorporates drugs that were previously part of clinical</w:t>
            </w:r>
            <w:r>
              <w:rPr>
                <w:spacing w:val="-34"/>
              </w:rPr>
              <w:t xml:space="preserve"> </w:t>
            </w:r>
            <w:r>
              <w:t>edits. Mr. Calloway reviewed the criteria document, reviewing preferred and non-preferred</w:t>
            </w:r>
            <w:r>
              <w:rPr>
                <w:spacing w:val="-29"/>
              </w:rPr>
              <w:t xml:space="preserve"> </w:t>
            </w:r>
            <w:r>
              <w:t>agents.</w:t>
            </w:r>
          </w:p>
          <w:p w:rsidR="00843681" w:rsidRDefault="00843681" w:rsidP="00843681">
            <w:pPr>
              <w:pStyle w:val="TableParagraph"/>
              <w:numPr>
                <w:ilvl w:val="0"/>
                <w:numId w:val="11"/>
              </w:numPr>
              <w:tabs>
                <w:tab w:val="left" w:pos="340"/>
              </w:tabs>
              <w:ind w:right="1046" w:hanging="259"/>
            </w:pPr>
            <w:r>
              <w:rPr>
                <w:b/>
              </w:rPr>
              <w:t xml:space="preserve">Public Hearing – </w:t>
            </w:r>
            <w:r>
              <w:t>Taylor Bradshaw, Allergan provided information on Linzess and inquired</w:t>
            </w:r>
            <w:r>
              <w:rPr>
                <w:spacing w:val="-23"/>
              </w:rPr>
              <w:t xml:space="preserve"> </w:t>
            </w:r>
            <w:r>
              <w:t>about diagnosis criteria for</w:t>
            </w:r>
            <w:r>
              <w:rPr>
                <w:spacing w:val="-11"/>
              </w:rPr>
              <w:t xml:space="preserve"> </w:t>
            </w:r>
            <w:r>
              <w:t>Viberzi.</w:t>
            </w:r>
          </w:p>
          <w:p w:rsidR="00843681" w:rsidRDefault="00843681" w:rsidP="00843681">
            <w:pPr>
              <w:pStyle w:val="TableParagraph"/>
              <w:numPr>
                <w:ilvl w:val="0"/>
                <w:numId w:val="11"/>
              </w:numPr>
              <w:tabs>
                <w:tab w:val="left" w:pos="340"/>
              </w:tabs>
              <w:spacing w:before="4"/>
              <w:ind w:right="923" w:hanging="259"/>
            </w:pPr>
            <w:r>
              <w:rPr>
                <w:b/>
              </w:rPr>
              <w:t xml:space="preserve">Decision – </w:t>
            </w:r>
            <w:r>
              <w:t>The Committee voted to accept this PDL edit as presented, pending clarification of</w:t>
            </w:r>
            <w:r>
              <w:rPr>
                <w:spacing w:val="-30"/>
              </w:rPr>
              <w:t xml:space="preserve"> </w:t>
            </w:r>
            <w:r>
              <w:t>the diagnosis criteria for Viberzi. (See Roll Call</w:t>
            </w:r>
            <w:r>
              <w:rPr>
                <w:spacing w:val="-12"/>
              </w:rPr>
              <w:t xml:space="preserve"> </w:t>
            </w:r>
            <w:r>
              <w:t>Vote)</w:t>
            </w:r>
          </w:p>
        </w:tc>
      </w:tr>
      <w:tr w:rsidR="00843681" w:rsidTr="00843681">
        <w:trPr>
          <w:trHeight w:hRule="exact" w:val="818"/>
        </w:trPr>
        <w:tc>
          <w:tcPr>
            <w:tcW w:w="3450" w:type="dxa"/>
          </w:tcPr>
          <w:p w:rsidR="00843681" w:rsidRDefault="00843681" w:rsidP="00843681">
            <w:pPr>
              <w:pStyle w:val="TableParagraph"/>
              <w:spacing w:line="248" w:lineRule="exact"/>
              <w:ind w:left="103"/>
              <w:rPr>
                <w:b/>
              </w:rPr>
            </w:pPr>
            <w:r>
              <w:rPr>
                <w:b/>
              </w:rPr>
              <w:t>Long-Acting Narcotics</w:t>
            </w:r>
          </w:p>
        </w:tc>
        <w:tc>
          <w:tcPr>
            <w:tcW w:w="10813" w:type="dxa"/>
          </w:tcPr>
          <w:p w:rsidR="00843681" w:rsidRDefault="00843681" w:rsidP="00843681">
            <w:pPr>
              <w:pStyle w:val="TableParagraph"/>
              <w:numPr>
                <w:ilvl w:val="0"/>
                <w:numId w:val="10"/>
              </w:numPr>
              <w:tabs>
                <w:tab w:val="left" w:pos="340"/>
              </w:tabs>
              <w:spacing w:line="267" w:lineRule="exact"/>
              <w:ind w:hanging="225"/>
            </w:pPr>
            <w:r>
              <w:rPr>
                <w:b/>
              </w:rPr>
              <w:t xml:space="preserve">Discussion – </w:t>
            </w:r>
            <w:r>
              <w:t>Mr. Calloway stated there are no changes recommended for this</w:t>
            </w:r>
            <w:r>
              <w:rPr>
                <w:spacing w:val="-23"/>
              </w:rPr>
              <w:t xml:space="preserve"> </w:t>
            </w:r>
            <w:r>
              <w:t>class.</w:t>
            </w:r>
          </w:p>
          <w:p w:rsidR="00843681" w:rsidRDefault="00843681" w:rsidP="00843681">
            <w:pPr>
              <w:pStyle w:val="TableParagraph"/>
              <w:numPr>
                <w:ilvl w:val="0"/>
                <w:numId w:val="10"/>
              </w:numPr>
              <w:tabs>
                <w:tab w:val="left" w:pos="340"/>
              </w:tabs>
              <w:spacing w:before="1" w:line="269" w:lineRule="exact"/>
              <w:ind w:hanging="225"/>
            </w:pPr>
            <w:r>
              <w:rPr>
                <w:b/>
              </w:rPr>
              <w:t xml:space="preserve">Public Hearing – </w:t>
            </w:r>
            <w:r>
              <w:t>Jerod Downing, Purdue Pharma, LP provided information on Hyslinga</w:t>
            </w:r>
            <w:r>
              <w:rPr>
                <w:spacing w:val="-27"/>
              </w:rPr>
              <w:t xml:space="preserve"> </w:t>
            </w:r>
            <w:r>
              <w:t>ER.</w:t>
            </w:r>
          </w:p>
          <w:p w:rsidR="00843681" w:rsidRDefault="00843681" w:rsidP="00843681">
            <w:pPr>
              <w:pStyle w:val="TableParagraph"/>
              <w:numPr>
                <w:ilvl w:val="0"/>
                <w:numId w:val="10"/>
              </w:numPr>
              <w:tabs>
                <w:tab w:val="left" w:pos="340"/>
              </w:tabs>
              <w:spacing w:line="269" w:lineRule="exact"/>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14"/>
        </w:trPr>
        <w:tc>
          <w:tcPr>
            <w:tcW w:w="3450" w:type="dxa"/>
          </w:tcPr>
          <w:p w:rsidR="00843681" w:rsidRDefault="00843681" w:rsidP="00843681">
            <w:pPr>
              <w:pStyle w:val="TableParagraph"/>
              <w:spacing w:line="251" w:lineRule="exact"/>
              <w:ind w:left="103"/>
              <w:rPr>
                <w:b/>
              </w:rPr>
            </w:pPr>
            <w:r>
              <w:rPr>
                <w:b/>
              </w:rPr>
              <w:t>Neuropathic Pain Agents</w:t>
            </w:r>
          </w:p>
        </w:tc>
        <w:tc>
          <w:tcPr>
            <w:tcW w:w="10813" w:type="dxa"/>
          </w:tcPr>
          <w:p w:rsidR="00843681" w:rsidRDefault="00843681" w:rsidP="00843681">
            <w:pPr>
              <w:pStyle w:val="TableParagraph"/>
              <w:numPr>
                <w:ilvl w:val="0"/>
                <w:numId w:val="9"/>
              </w:numPr>
              <w:tabs>
                <w:tab w:val="left" w:pos="354"/>
              </w:tabs>
              <w:spacing w:line="265" w:lineRule="exact"/>
            </w:pPr>
            <w:r>
              <w:rPr>
                <w:b/>
              </w:rPr>
              <w:t xml:space="preserve">Discussion </w:t>
            </w:r>
            <w:r>
              <w:t>– Mr. Calloway stated there are no changes recommended for this</w:t>
            </w:r>
            <w:r>
              <w:rPr>
                <w:spacing w:val="-18"/>
              </w:rPr>
              <w:t xml:space="preserve"> </w:t>
            </w:r>
            <w:r>
              <w:t>class.</w:t>
            </w:r>
          </w:p>
          <w:p w:rsidR="00843681" w:rsidRDefault="00843681" w:rsidP="00843681">
            <w:pPr>
              <w:pStyle w:val="TableParagraph"/>
              <w:numPr>
                <w:ilvl w:val="0"/>
                <w:numId w:val="9"/>
              </w:numPr>
              <w:tabs>
                <w:tab w:val="left" w:pos="354"/>
              </w:tabs>
              <w:spacing w:line="268" w:lineRule="exact"/>
            </w:pPr>
            <w:r>
              <w:rPr>
                <w:b/>
              </w:rPr>
              <w:t xml:space="preserve">Public Hearing </w:t>
            </w:r>
            <w:r>
              <w:t>– No comments</w:t>
            </w:r>
            <w:r>
              <w:rPr>
                <w:spacing w:val="-12"/>
              </w:rPr>
              <w:t xml:space="preserve"> </w:t>
            </w:r>
            <w:r>
              <w:t>entered.</w:t>
            </w:r>
          </w:p>
          <w:p w:rsidR="00843681" w:rsidRDefault="00843681" w:rsidP="00843681">
            <w:pPr>
              <w:pStyle w:val="TableParagraph"/>
              <w:numPr>
                <w:ilvl w:val="0"/>
                <w:numId w:val="9"/>
              </w:numPr>
              <w:tabs>
                <w:tab w:val="left" w:pos="354"/>
              </w:tabs>
              <w:spacing w:line="269" w:lineRule="exact"/>
            </w:pPr>
            <w:r>
              <w:rPr>
                <w:b/>
              </w:rPr>
              <w:t xml:space="preserve">Decision </w:t>
            </w:r>
            <w:r>
              <w:t xml:space="preserve">– The Committee voted to accept the </w:t>
            </w:r>
            <w:r>
              <w:rPr>
                <w:spacing w:val="-2"/>
              </w:rPr>
              <w:t xml:space="preserve">PDL </w:t>
            </w:r>
            <w:r>
              <w:t>edit as presented. (See Roll Call</w:t>
            </w:r>
            <w:r>
              <w:rPr>
                <w:spacing w:val="-14"/>
              </w:rPr>
              <w:t xml:space="preserve"> </w:t>
            </w:r>
            <w:r>
              <w:t>Vote)</w:t>
            </w:r>
          </w:p>
        </w:tc>
      </w:tr>
      <w:tr w:rsidR="00843681" w:rsidTr="00843681">
        <w:trPr>
          <w:trHeight w:hRule="exact" w:val="820"/>
        </w:trPr>
        <w:tc>
          <w:tcPr>
            <w:tcW w:w="3450" w:type="dxa"/>
          </w:tcPr>
          <w:p w:rsidR="00843681" w:rsidRDefault="00843681" w:rsidP="00843681">
            <w:pPr>
              <w:pStyle w:val="TableParagraph"/>
              <w:spacing w:line="242" w:lineRule="auto"/>
              <w:ind w:left="103" w:right="103"/>
              <w:rPr>
                <w:b/>
              </w:rPr>
            </w:pPr>
            <w:r>
              <w:rPr>
                <w:b/>
              </w:rPr>
              <w:t>Non-Ergot Dopamine Receptor Agonists</w:t>
            </w:r>
          </w:p>
        </w:tc>
        <w:tc>
          <w:tcPr>
            <w:tcW w:w="10813" w:type="dxa"/>
          </w:tcPr>
          <w:p w:rsidR="00843681" w:rsidRDefault="00843681" w:rsidP="00843681">
            <w:pPr>
              <w:pStyle w:val="TableParagraph"/>
              <w:numPr>
                <w:ilvl w:val="0"/>
                <w:numId w:val="8"/>
              </w:numPr>
              <w:tabs>
                <w:tab w:val="left" w:pos="340"/>
              </w:tabs>
              <w:spacing w:line="267" w:lineRule="exact"/>
              <w:ind w:hanging="225"/>
            </w:pPr>
            <w:r>
              <w:rPr>
                <w:b/>
              </w:rPr>
              <w:t xml:space="preserve">Discussion – </w:t>
            </w:r>
            <w:r>
              <w:t>Mr. Calloway stated there are no changes recommended for this</w:t>
            </w:r>
            <w:r>
              <w:rPr>
                <w:spacing w:val="-24"/>
              </w:rPr>
              <w:t xml:space="preserve"> </w:t>
            </w:r>
            <w:r>
              <w:t>class.</w:t>
            </w:r>
          </w:p>
          <w:p w:rsidR="00843681" w:rsidRDefault="00843681" w:rsidP="00843681">
            <w:pPr>
              <w:pStyle w:val="TableParagraph"/>
              <w:numPr>
                <w:ilvl w:val="0"/>
                <w:numId w:val="8"/>
              </w:numPr>
              <w:tabs>
                <w:tab w:val="left" w:pos="340"/>
              </w:tabs>
              <w:spacing w:before="2" w:line="269" w:lineRule="exact"/>
              <w:ind w:hanging="225"/>
            </w:pPr>
            <w:r>
              <w:rPr>
                <w:b/>
              </w:rPr>
              <w:t xml:space="preserve">Public Hearing – </w:t>
            </w:r>
            <w:r>
              <w:t>No comments</w:t>
            </w:r>
            <w:r>
              <w:rPr>
                <w:spacing w:val="-11"/>
              </w:rPr>
              <w:t xml:space="preserve"> </w:t>
            </w:r>
            <w:r>
              <w:t>entered.</w:t>
            </w:r>
          </w:p>
          <w:p w:rsidR="00843681" w:rsidRDefault="00843681" w:rsidP="00843681">
            <w:pPr>
              <w:pStyle w:val="TableParagraph"/>
              <w:numPr>
                <w:ilvl w:val="0"/>
                <w:numId w:val="8"/>
              </w:numPr>
              <w:tabs>
                <w:tab w:val="left" w:pos="340"/>
              </w:tabs>
              <w:spacing w:line="269" w:lineRule="exact"/>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20"/>
        </w:trPr>
        <w:tc>
          <w:tcPr>
            <w:tcW w:w="3450" w:type="dxa"/>
          </w:tcPr>
          <w:p w:rsidR="00843681" w:rsidRDefault="00843681" w:rsidP="00843681">
            <w:pPr>
              <w:pStyle w:val="TableParagraph"/>
              <w:spacing w:line="249" w:lineRule="exact"/>
              <w:ind w:left="103"/>
              <w:rPr>
                <w:b/>
              </w:rPr>
            </w:pPr>
            <w:r>
              <w:rPr>
                <w:b/>
              </w:rPr>
              <w:t>NSAID Agents</w:t>
            </w:r>
          </w:p>
        </w:tc>
        <w:tc>
          <w:tcPr>
            <w:tcW w:w="10813" w:type="dxa"/>
          </w:tcPr>
          <w:p w:rsidR="00843681" w:rsidRDefault="00843681" w:rsidP="00843681">
            <w:pPr>
              <w:pStyle w:val="TableParagraph"/>
              <w:numPr>
                <w:ilvl w:val="0"/>
                <w:numId w:val="7"/>
              </w:numPr>
              <w:tabs>
                <w:tab w:val="left" w:pos="340"/>
              </w:tabs>
              <w:spacing w:line="268" w:lineRule="exact"/>
              <w:ind w:hanging="225"/>
            </w:pPr>
            <w:r>
              <w:rPr>
                <w:b/>
              </w:rPr>
              <w:t xml:space="preserve">Discussion – </w:t>
            </w:r>
            <w:r>
              <w:t>Mr. Calloway reviewed the criteria document, reviewing preferred and non-preferred</w:t>
            </w:r>
            <w:r>
              <w:rPr>
                <w:spacing w:val="-32"/>
              </w:rPr>
              <w:t xml:space="preserve"> </w:t>
            </w:r>
            <w:r>
              <w:t>agents.</w:t>
            </w:r>
          </w:p>
          <w:p w:rsidR="00843681" w:rsidRDefault="00843681" w:rsidP="00843681">
            <w:pPr>
              <w:pStyle w:val="TableParagraph"/>
              <w:numPr>
                <w:ilvl w:val="0"/>
                <w:numId w:val="7"/>
              </w:numPr>
              <w:tabs>
                <w:tab w:val="left" w:pos="340"/>
              </w:tabs>
              <w:spacing w:line="269" w:lineRule="exact"/>
              <w:ind w:hanging="225"/>
            </w:pPr>
            <w:r>
              <w:rPr>
                <w:b/>
              </w:rPr>
              <w:t xml:space="preserve">Public Hearing – </w:t>
            </w:r>
            <w:r>
              <w:t>No comments were</w:t>
            </w:r>
            <w:r>
              <w:rPr>
                <w:spacing w:val="-14"/>
              </w:rPr>
              <w:t xml:space="preserve"> </w:t>
            </w:r>
            <w:r>
              <w:t>entered.</w:t>
            </w:r>
          </w:p>
          <w:p w:rsidR="00843681" w:rsidRDefault="00843681" w:rsidP="00843681">
            <w:pPr>
              <w:pStyle w:val="TableParagraph"/>
              <w:numPr>
                <w:ilvl w:val="0"/>
                <w:numId w:val="7"/>
              </w:numPr>
              <w:tabs>
                <w:tab w:val="left" w:pos="340"/>
              </w:tabs>
              <w:spacing w:line="269" w:lineRule="exact"/>
              <w:ind w:hanging="225"/>
            </w:pPr>
            <w:r>
              <w:rPr>
                <w:b/>
              </w:rPr>
              <w:t xml:space="preserve">Decision – </w:t>
            </w:r>
            <w:r>
              <w:t>The Committee voted to accept this PDL edit as presented. (See Roll Call</w:t>
            </w:r>
            <w:r>
              <w:rPr>
                <w:spacing w:val="-32"/>
              </w:rPr>
              <w:t xml:space="preserve"> </w:t>
            </w:r>
            <w:r>
              <w:t>Vote)</w:t>
            </w:r>
          </w:p>
        </w:tc>
      </w:tr>
    </w:tbl>
    <w:p w:rsidR="00577741" w:rsidRDefault="00577741">
      <w:pPr>
        <w:rPr>
          <w:sz w:val="2"/>
          <w:szCs w:val="2"/>
        </w:rPr>
      </w:pPr>
    </w:p>
    <w:p w:rsidR="00577741" w:rsidRDefault="00577741">
      <w:pPr>
        <w:rPr>
          <w:sz w:val="2"/>
          <w:szCs w:val="2"/>
        </w:rPr>
        <w:sectPr w:rsidR="00577741">
          <w:pgSz w:w="15840" w:h="12240" w:orient="landscape"/>
          <w:pgMar w:top="1080" w:right="480" w:bottom="1060" w:left="860" w:header="0" w:footer="864" w:gutter="0"/>
          <w:cols w:space="720"/>
        </w:sectPr>
      </w:pPr>
    </w:p>
    <w:tbl>
      <w:tblPr>
        <w:tblpPr w:leftFromText="180" w:rightFromText="180" w:vertAnchor="page" w:horzAnchor="margin" w:tblpY="4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2"/>
        <w:gridCol w:w="10803"/>
      </w:tblGrid>
      <w:tr w:rsidR="00843681" w:rsidTr="00843681">
        <w:trPr>
          <w:trHeight w:hRule="exact" w:val="821"/>
        </w:trPr>
        <w:tc>
          <w:tcPr>
            <w:tcW w:w="3462" w:type="dxa"/>
          </w:tcPr>
          <w:p w:rsidR="00843681" w:rsidRDefault="00843681" w:rsidP="00843681">
            <w:pPr>
              <w:pStyle w:val="TableParagraph"/>
              <w:spacing w:line="246" w:lineRule="exact"/>
              <w:ind w:left="103"/>
              <w:rPr>
                <w:b/>
              </w:rPr>
            </w:pPr>
            <w:r>
              <w:rPr>
                <w:b/>
              </w:rPr>
              <w:lastRenderedPageBreak/>
              <w:t>Opiate Dependence Agents</w:t>
            </w:r>
          </w:p>
        </w:tc>
        <w:tc>
          <w:tcPr>
            <w:tcW w:w="10803" w:type="dxa"/>
          </w:tcPr>
          <w:p w:rsidR="00843681" w:rsidRDefault="00843681" w:rsidP="00843681">
            <w:pPr>
              <w:pStyle w:val="TableParagraph"/>
              <w:numPr>
                <w:ilvl w:val="0"/>
                <w:numId w:val="6"/>
              </w:numPr>
              <w:tabs>
                <w:tab w:val="left" w:pos="329"/>
              </w:tabs>
              <w:spacing w:line="264" w:lineRule="exact"/>
              <w:ind w:hanging="225"/>
            </w:pPr>
            <w:r>
              <w:rPr>
                <w:b/>
              </w:rPr>
              <w:t xml:space="preserve">Discussion – </w:t>
            </w:r>
            <w:r>
              <w:t>Mr. Calloway reviewed the criteria document, reviewing preferred and non-preferred</w:t>
            </w:r>
            <w:r>
              <w:rPr>
                <w:spacing w:val="-32"/>
              </w:rPr>
              <w:t xml:space="preserve"> </w:t>
            </w:r>
            <w:r>
              <w:t>agents.</w:t>
            </w:r>
          </w:p>
          <w:p w:rsidR="00843681" w:rsidRDefault="00843681" w:rsidP="00843681">
            <w:pPr>
              <w:pStyle w:val="TableParagraph"/>
              <w:numPr>
                <w:ilvl w:val="0"/>
                <w:numId w:val="6"/>
              </w:numPr>
              <w:tabs>
                <w:tab w:val="left" w:pos="329"/>
              </w:tabs>
              <w:ind w:hanging="225"/>
            </w:pPr>
            <w:r>
              <w:rPr>
                <w:b/>
              </w:rPr>
              <w:t xml:space="preserve">Public Hearing – </w:t>
            </w:r>
            <w:r>
              <w:t>Rose Mullen, Alkermes provided updated product information on</w:t>
            </w:r>
            <w:r>
              <w:rPr>
                <w:spacing w:val="-28"/>
              </w:rPr>
              <w:t xml:space="preserve"> </w:t>
            </w:r>
            <w:r>
              <w:t>Vivitrol.</w:t>
            </w:r>
          </w:p>
          <w:p w:rsidR="00843681" w:rsidRDefault="00843681" w:rsidP="00843681">
            <w:pPr>
              <w:pStyle w:val="TableParagraph"/>
              <w:numPr>
                <w:ilvl w:val="0"/>
                <w:numId w:val="6"/>
              </w:numPr>
              <w:tabs>
                <w:tab w:val="left" w:pos="329"/>
              </w:tabs>
              <w:spacing w:before="2"/>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1073"/>
        </w:trPr>
        <w:tc>
          <w:tcPr>
            <w:tcW w:w="3462" w:type="dxa"/>
          </w:tcPr>
          <w:p w:rsidR="00843681" w:rsidRDefault="00843681" w:rsidP="00843681">
            <w:pPr>
              <w:pStyle w:val="TableParagraph"/>
              <w:spacing w:line="242" w:lineRule="auto"/>
              <w:ind w:left="103" w:right="419"/>
              <w:rPr>
                <w:b/>
              </w:rPr>
            </w:pPr>
            <w:r>
              <w:rPr>
                <w:b/>
              </w:rPr>
              <w:t>Opiate Emergency Reversal Agents</w:t>
            </w:r>
          </w:p>
        </w:tc>
        <w:tc>
          <w:tcPr>
            <w:tcW w:w="10803" w:type="dxa"/>
          </w:tcPr>
          <w:p w:rsidR="00843681" w:rsidRDefault="00843681" w:rsidP="00843681">
            <w:pPr>
              <w:pStyle w:val="TableParagraph"/>
              <w:numPr>
                <w:ilvl w:val="0"/>
                <w:numId w:val="5"/>
              </w:numPr>
              <w:tabs>
                <w:tab w:val="left" w:pos="329"/>
              </w:tabs>
              <w:spacing w:line="242" w:lineRule="auto"/>
              <w:ind w:right="213" w:hanging="259"/>
            </w:pPr>
            <w:r>
              <w:rPr>
                <w:b/>
              </w:rPr>
              <w:t xml:space="preserve">Discussion – </w:t>
            </w:r>
            <w:r>
              <w:t>Mr. Calloway reviewed the criteria document, reviewing preferred and non-preferred agent. This was first proposed as a Clinical Edit at the September 2016 Drug PA Committee</w:t>
            </w:r>
            <w:r>
              <w:rPr>
                <w:spacing w:val="-28"/>
              </w:rPr>
              <w:t xml:space="preserve"> </w:t>
            </w:r>
            <w:r>
              <w:t>meeting.</w:t>
            </w:r>
          </w:p>
          <w:p w:rsidR="00843681" w:rsidRDefault="00843681" w:rsidP="00843681">
            <w:pPr>
              <w:pStyle w:val="TableParagraph"/>
              <w:numPr>
                <w:ilvl w:val="0"/>
                <w:numId w:val="5"/>
              </w:numPr>
              <w:tabs>
                <w:tab w:val="left" w:pos="329"/>
              </w:tabs>
              <w:spacing w:before="5" w:line="265" w:lineRule="exact"/>
              <w:ind w:left="328" w:hanging="225"/>
            </w:pPr>
            <w:r>
              <w:rPr>
                <w:b/>
              </w:rPr>
              <w:t xml:space="preserve">Public Hearing – </w:t>
            </w:r>
            <w:r>
              <w:t>No comments were</w:t>
            </w:r>
            <w:r>
              <w:rPr>
                <w:spacing w:val="-14"/>
              </w:rPr>
              <w:t xml:space="preserve"> </w:t>
            </w:r>
            <w:r>
              <w:t>entered.</w:t>
            </w:r>
          </w:p>
          <w:p w:rsidR="00843681" w:rsidRDefault="00843681" w:rsidP="00843681">
            <w:pPr>
              <w:pStyle w:val="TableParagraph"/>
              <w:numPr>
                <w:ilvl w:val="0"/>
                <w:numId w:val="5"/>
              </w:numPr>
              <w:tabs>
                <w:tab w:val="left" w:pos="329"/>
              </w:tabs>
              <w:spacing w:line="269" w:lineRule="exact"/>
              <w:ind w:left="328"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18"/>
        </w:trPr>
        <w:tc>
          <w:tcPr>
            <w:tcW w:w="3462" w:type="dxa"/>
          </w:tcPr>
          <w:p w:rsidR="00843681" w:rsidRDefault="00843681" w:rsidP="00843681">
            <w:pPr>
              <w:pStyle w:val="TableParagraph"/>
              <w:spacing w:line="246" w:lineRule="exact"/>
              <w:ind w:left="103"/>
              <w:rPr>
                <w:b/>
              </w:rPr>
            </w:pPr>
            <w:r>
              <w:rPr>
                <w:b/>
              </w:rPr>
              <w:t>Sedative Hypnotic Agents</w:t>
            </w:r>
          </w:p>
        </w:tc>
        <w:tc>
          <w:tcPr>
            <w:tcW w:w="10803" w:type="dxa"/>
          </w:tcPr>
          <w:p w:rsidR="00843681" w:rsidRDefault="00843681" w:rsidP="00843681">
            <w:pPr>
              <w:pStyle w:val="TableParagraph"/>
              <w:numPr>
                <w:ilvl w:val="0"/>
                <w:numId w:val="4"/>
              </w:numPr>
              <w:tabs>
                <w:tab w:val="left" w:pos="329"/>
              </w:tabs>
              <w:spacing w:line="264" w:lineRule="exact"/>
              <w:ind w:hanging="225"/>
            </w:pPr>
            <w:r>
              <w:rPr>
                <w:b/>
              </w:rPr>
              <w:t xml:space="preserve">Discussion – </w:t>
            </w:r>
            <w:r>
              <w:t>Mr. Calloway reviewed the criteria document, reviewing preferred and non-preferred</w:t>
            </w:r>
            <w:r>
              <w:rPr>
                <w:spacing w:val="-31"/>
              </w:rPr>
              <w:t xml:space="preserve"> </w:t>
            </w:r>
            <w:r>
              <w:t>agent.</w:t>
            </w:r>
          </w:p>
          <w:p w:rsidR="00843681" w:rsidRDefault="00843681" w:rsidP="00843681">
            <w:pPr>
              <w:pStyle w:val="TableParagraph"/>
              <w:numPr>
                <w:ilvl w:val="0"/>
                <w:numId w:val="4"/>
              </w:numPr>
              <w:tabs>
                <w:tab w:val="left" w:pos="329"/>
              </w:tabs>
              <w:spacing w:line="269" w:lineRule="exact"/>
              <w:ind w:hanging="225"/>
            </w:pPr>
            <w:r>
              <w:rPr>
                <w:b/>
              </w:rPr>
              <w:t xml:space="preserve">Public Hearing – </w:t>
            </w:r>
            <w:r>
              <w:t>No comments were</w:t>
            </w:r>
            <w:r>
              <w:rPr>
                <w:spacing w:val="-14"/>
              </w:rPr>
              <w:t xml:space="preserve"> </w:t>
            </w:r>
            <w:r>
              <w:t>entered.</w:t>
            </w:r>
          </w:p>
          <w:p w:rsidR="00843681" w:rsidRDefault="00843681" w:rsidP="00843681">
            <w:pPr>
              <w:pStyle w:val="TableParagraph"/>
              <w:numPr>
                <w:ilvl w:val="0"/>
                <w:numId w:val="4"/>
              </w:numPr>
              <w:tabs>
                <w:tab w:val="left" w:pos="329"/>
              </w:tabs>
              <w:spacing w:line="269" w:lineRule="exact"/>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19"/>
        </w:trPr>
        <w:tc>
          <w:tcPr>
            <w:tcW w:w="3462" w:type="dxa"/>
          </w:tcPr>
          <w:p w:rsidR="00843681" w:rsidRDefault="00843681" w:rsidP="00843681">
            <w:pPr>
              <w:pStyle w:val="TableParagraph"/>
              <w:spacing w:line="246" w:lineRule="exact"/>
              <w:ind w:left="103"/>
              <w:rPr>
                <w:b/>
              </w:rPr>
            </w:pPr>
            <w:r>
              <w:rPr>
                <w:b/>
              </w:rPr>
              <w:t>Skeletal Muscle Relaxants</w:t>
            </w:r>
          </w:p>
        </w:tc>
        <w:tc>
          <w:tcPr>
            <w:tcW w:w="10803" w:type="dxa"/>
          </w:tcPr>
          <w:p w:rsidR="00843681" w:rsidRDefault="00843681" w:rsidP="00843681">
            <w:pPr>
              <w:pStyle w:val="TableParagraph"/>
              <w:numPr>
                <w:ilvl w:val="0"/>
                <w:numId w:val="3"/>
              </w:numPr>
              <w:tabs>
                <w:tab w:val="left" w:pos="329"/>
              </w:tabs>
              <w:spacing w:line="265" w:lineRule="exact"/>
              <w:ind w:hanging="225"/>
            </w:pPr>
            <w:r>
              <w:rPr>
                <w:b/>
              </w:rPr>
              <w:t xml:space="preserve">Discussion – </w:t>
            </w:r>
            <w:r>
              <w:t>Mr. Calloway stated there are no changes recommended for this</w:t>
            </w:r>
            <w:r>
              <w:rPr>
                <w:spacing w:val="-23"/>
              </w:rPr>
              <w:t xml:space="preserve"> </w:t>
            </w:r>
            <w:r>
              <w:t>class.</w:t>
            </w:r>
          </w:p>
          <w:p w:rsidR="00843681" w:rsidRDefault="00843681" w:rsidP="00843681">
            <w:pPr>
              <w:pStyle w:val="TableParagraph"/>
              <w:numPr>
                <w:ilvl w:val="0"/>
                <w:numId w:val="3"/>
              </w:numPr>
              <w:tabs>
                <w:tab w:val="left" w:pos="329"/>
              </w:tabs>
              <w:spacing w:line="269" w:lineRule="exact"/>
              <w:ind w:hanging="225"/>
            </w:pPr>
            <w:r>
              <w:rPr>
                <w:b/>
              </w:rPr>
              <w:t xml:space="preserve">Public Hearing – </w:t>
            </w:r>
            <w:r>
              <w:t>No comments were</w:t>
            </w:r>
            <w:r>
              <w:rPr>
                <w:spacing w:val="-14"/>
              </w:rPr>
              <w:t xml:space="preserve"> </w:t>
            </w:r>
            <w:r>
              <w:t>entered.</w:t>
            </w:r>
          </w:p>
          <w:p w:rsidR="00843681" w:rsidRDefault="00843681" w:rsidP="00843681">
            <w:pPr>
              <w:pStyle w:val="TableParagraph"/>
              <w:numPr>
                <w:ilvl w:val="0"/>
                <w:numId w:val="3"/>
              </w:numPr>
              <w:tabs>
                <w:tab w:val="left" w:pos="329"/>
              </w:tabs>
              <w:spacing w:line="269" w:lineRule="exact"/>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18"/>
        </w:trPr>
        <w:tc>
          <w:tcPr>
            <w:tcW w:w="3462" w:type="dxa"/>
          </w:tcPr>
          <w:p w:rsidR="00843681" w:rsidRDefault="00843681" w:rsidP="00843681">
            <w:pPr>
              <w:pStyle w:val="TableParagraph"/>
              <w:ind w:left="103" w:right="286"/>
              <w:rPr>
                <w:b/>
              </w:rPr>
            </w:pPr>
            <w:r>
              <w:rPr>
                <w:b/>
              </w:rPr>
              <w:t>Serotonin Receptor Agonists (Triptans)</w:t>
            </w:r>
          </w:p>
        </w:tc>
        <w:tc>
          <w:tcPr>
            <w:tcW w:w="10803" w:type="dxa"/>
          </w:tcPr>
          <w:p w:rsidR="00843681" w:rsidRDefault="00843681" w:rsidP="00843681">
            <w:pPr>
              <w:pStyle w:val="TableParagraph"/>
              <w:numPr>
                <w:ilvl w:val="0"/>
                <w:numId w:val="2"/>
              </w:numPr>
              <w:tabs>
                <w:tab w:val="left" w:pos="329"/>
              </w:tabs>
              <w:spacing w:line="264" w:lineRule="exact"/>
              <w:ind w:hanging="225"/>
            </w:pPr>
            <w:r>
              <w:rPr>
                <w:b/>
              </w:rPr>
              <w:t xml:space="preserve">Discussion – </w:t>
            </w:r>
            <w:r>
              <w:t>Mr. Calloway reviewed the criteria document, reviewing preferred and non-preferred</w:t>
            </w:r>
            <w:r>
              <w:rPr>
                <w:spacing w:val="-31"/>
              </w:rPr>
              <w:t xml:space="preserve"> </w:t>
            </w:r>
            <w:r>
              <w:t>agent.</w:t>
            </w:r>
          </w:p>
          <w:p w:rsidR="00843681" w:rsidRDefault="00843681" w:rsidP="00843681">
            <w:pPr>
              <w:pStyle w:val="TableParagraph"/>
              <w:numPr>
                <w:ilvl w:val="0"/>
                <w:numId w:val="2"/>
              </w:numPr>
              <w:tabs>
                <w:tab w:val="left" w:pos="329"/>
              </w:tabs>
              <w:spacing w:line="269" w:lineRule="exact"/>
              <w:ind w:hanging="225"/>
            </w:pPr>
            <w:r>
              <w:rPr>
                <w:b/>
              </w:rPr>
              <w:t xml:space="preserve">Public Hearing – </w:t>
            </w:r>
            <w:r>
              <w:t>No comments were</w:t>
            </w:r>
            <w:r>
              <w:rPr>
                <w:spacing w:val="-14"/>
              </w:rPr>
              <w:t xml:space="preserve"> </w:t>
            </w:r>
            <w:r>
              <w:t>entered.</w:t>
            </w:r>
          </w:p>
          <w:p w:rsidR="00843681" w:rsidRDefault="00843681" w:rsidP="00843681">
            <w:pPr>
              <w:pStyle w:val="TableParagraph"/>
              <w:numPr>
                <w:ilvl w:val="0"/>
                <w:numId w:val="2"/>
              </w:numPr>
              <w:tabs>
                <w:tab w:val="left" w:pos="329"/>
              </w:tabs>
              <w:spacing w:line="269" w:lineRule="exact"/>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818"/>
        </w:trPr>
        <w:tc>
          <w:tcPr>
            <w:tcW w:w="3462" w:type="dxa"/>
          </w:tcPr>
          <w:p w:rsidR="00843681" w:rsidRDefault="00843681" w:rsidP="00843681">
            <w:pPr>
              <w:pStyle w:val="TableParagraph"/>
              <w:spacing w:line="246" w:lineRule="exact"/>
              <w:ind w:left="103"/>
              <w:rPr>
                <w:b/>
              </w:rPr>
            </w:pPr>
            <w:r>
              <w:rPr>
                <w:b/>
              </w:rPr>
              <w:t>Tramadol-Like Agents</w:t>
            </w:r>
          </w:p>
        </w:tc>
        <w:tc>
          <w:tcPr>
            <w:tcW w:w="10803" w:type="dxa"/>
          </w:tcPr>
          <w:p w:rsidR="00843681" w:rsidRDefault="00843681" w:rsidP="00843681">
            <w:pPr>
              <w:pStyle w:val="TableParagraph"/>
              <w:numPr>
                <w:ilvl w:val="0"/>
                <w:numId w:val="1"/>
              </w:numPr>
              <w:tabs>
                <w:tab w:val="left" w:pos="329"/>
              </w:tabs>
              <w:spacing w:line="264" w:lineRule="exact"/>
              <w:ind w:hanging="225"/>
            </w:pPr>
            <w:r>
              <w:rPr>
                <w:b/>
              </w:rPr>
              <w:t xml:space="preserve">Discussion – </w:t>
            </w:r>
            <w:r>
              <w:t>Mr. Calloway stated there are no changes recommended for this</w:t>
            </w:r>
            <w:r>
              <w:rPr>
                <w:spacing w:val="-26"/>
              </w:rPr>
              <w:t xml:space="preserve"> </w:t>
            </w:r>
            <w:r>
              <w:t>class.</w:t>
            </w:r>
          </w:p>
          <w:p w:rsidR="00843681" w:rsidRDefault="00843681" w:rsidP="00843681">
            <w:pPr>
              <w:pStyle w:val="TableParagraph"/>
              <w:numPr>
                <w:ilvl w:val="0"/>
                <w:numId w:val="1"/>
              </w:numPr>
              <w:tabs>
                <w:tab w:val="left" w:pos="329"/>
              </w:tabs>
              <w:spacing w:line="269" w:lineRule="exact"/>
              <w:ind w:hanging="225"/>
            </w:pPr>
            <w:r>
              <w:rPr>
                <w:b/>
              </w:rPr>
              <w:t xml:space="preserve">Public Hearing – </w:t>
            </w:r>
            <w:r>
              <w:t>No comments were</w:t>
            </w:r>
            <w:r>
              <w:rPr>
                <w:spacing w:val="-14"/>
              </w:rPr>
              <w:t xml:space="preserve"> </w:t>
            </w:r>
            <w:r>
              <w:t>entered.</w:t>
            </w:r>
          </w:p>
          <w:p w:rsidR="00843681" w:rsidRDefault="00843681" w:rsidP="00843681">
            <w:pPr>
              <w:pStyle w:val="TableParagraph"/>
              <w:numPr>
                <w:ilvl w:val="0"/>
                <w:numId w:val="1"/>
              </w:numPr>
              <w:tabs>
                <w:tab w:val="left" w:pos="329"/>
              </w:tabs>
              <w:spacing w:before="1"/>
              <w:ind w:hanging="225"/>
            </w:pPr>
            <w:r>
              <w:rPr>
                <w:b/>
              </w:rPr>
              <w:t xml:space="preserve">Decision – </w:t>
            </w:r>
            <w:r>
              <w:t>The Committee voted to accept this PDL edit as presented. (See Roll Call</w:t>
            </w:r>
            <w:r>
              <w:rPr>
                <w:spacing w:val="-32"/>
              </w:rPr>
              <w:t xml:space="preserve"> </w:t>
            </w:r>
            <w:r>
              <w:t>Vote)</w:t>
            </w:r>
          </w:p>
        </w:tc>
      </w:tr>
      <w:tr w:rsidR="00843681" w:rsidTr="00843681">
        <w:trPr>
          <w:trHeight w:hRule="exact" w:val="516"/>
        </w:trPr>
        <w:tc>
          <w:tcPr>
            <w:tcW w:w="3462" w:type="dxa"/>
          </w:tcPr>
          <w:p w:rsidR="00843681" w:rsidRDefault="00843681" w:rsidP="00843681">
            <w:pPr>
              <w:pStyle w:val="TableParagraph"/>
              <w:ind w:left="1308" w:right="137" w:hanging="1155"/>
              <w:rPr>
                <w:b/>
              </w:rPr>
            </w:pPr>
            <w:r>
              <w:rPr>
                <w:b/>
              </w:rPr>
              <w:t>Proposed New Preferred Drug Classes</w:t>
            </w:r>
          </w:p>
        </w:tc>
        <w:tc>
          <w:tcPr>
            <w:tcW w:w="10803" w:type="dxa"/>
          </w:tcPr>
          <w:p w:rsidR="00843681" w:rsidRDefault="00843681" w:rsidP="00843681">
            <w:pPr>
              <w:pStyle w:val="TableParagraph"/>
              <w:spacing w:before="1" w:line="250" w:lineRule="exact"/>
              <w:ind w:left="103" w:right="178"/>
              <w:rPr>
                <w:b/>
              </w:rPr>
            </w:pPr>
            <w:r>
              <w:t xml:space="preserve">Stephen Calloway announced that several new PDL Categories or breakouts from existing Drug Classes for 2017. These included </w:t>
            </w:r>
            <w:r>
              <w:rPr>
                <w:b/>
              </w:rPr>
              <w:t>Topical Agents for Actinic Keratosis, Antipsoriatic Agents (Oral)</w:t>
            </w:r>
          </w:p>
        </w:tc>
      </w:tr>
      <w:tr w:rsidR="00843681" w:rsidTr="00843681">
        <w:trPr>
          <w:trHeight w:hRule="exact" w:val="768"/>
        </w:trPr>
        <w:tc>
          <w:tcPr>
            <w:tcW w:w="3462" w:type="dxa"/>
          </w:tcPr>
          <w:p w:rsidR="00843681" w:rsidRDefault="00843681" w:rsidP="00843681">
            <w:pPr>
              <w:pStyle w:val="TableParagraph"/>
              <w:spacing w:before="120"/>
              <w:ind w:left="924" w:right="706" w:hanging="203"/>
              <w:rPr>
                <w:b/>
              </w:rPr>
            </w:pPr>
            <w:r>
              <w:rPr>
                <w:b/>
              </w:rPr>
              <w:t>Preferred Drug List Announcement</w:t>
            </w:r>
          </w:p>
        </w:tc>
        <w:tc>
          <w:tcPr>
            <w:tcW w:w="10803" w:type="dxa"/>
          </w:tcPr>
          <w:p w:rsidR="00843681" w:rsidRDefault="00843681" w:rsidP="00843681">
            <w:pPr>
              <w:pStyle w:val="TableParagraph"/>
              <w:ind w:left="103" w:right="715"/>
            </w:pPr>
            <w:r>
              <w:t>A handout of therapeutic categories to be reviewed for inclusion on the Preferred Drug List for the next phase and March/April Advisory meetings was included in the meeting packet. This handout was also provided to all attendees and will be posted to the Division's web page.</w:t>
            </w:r>
          </w:p>
        </w:tc>
      </w:tr>
      <w:tr w:rsidR="00843681" w:rsidTr="00843681">
        <w:trPr>
          <w:trHeight w:hRule="exact" w:val="194"/>
        </w:trPr>
        <w:tc>
          <w:tcPr>
            <w:tcW w:w="14265" w:type="dxa"/>
            <w:gridSpan w:val="2"/>
            <w:tcBorders>
              <w:left w:val="nil"/>
              <w:right w:val="nil"/>
            </w:tcBorders>
          </w:tcPr>
          <w:p w:rsidR="00843681" w:rsidRDefault="00843681" w:rsidP="00843681">
            <w:pPr>
              <w:tabs>
                <w:tab w:val="left" w:pos="3093"/>
                <w:tab w:val="left" w:pos="4007"/>
              </w:tabs>
            </w:pPr>
            <w:r>
              <w:tab/>
            </w:r>
          </w:p>
          <w:p w:rsidR="00843681" w:rsidRDefault="00843681" w:rsidP="00843681">
            <w:pPr>
              <w:tabs>
                <w:tab w:val="left" w:pos="3093"/>
                <w:tab w:val="left" w:pos="4007"/>
              </w:tabs>
            </w:pPr>
          </w:p>
          <w:p w:rsidR="00843681" w:rsidRDefault="00843681" w:rsidP="00843681">
            <w:pPr>
              <w:tabs>
                <w:tab w:val="left" w:pos="3093"/>
                <w:tab w:val="left" w:pos="4007"/>
              </w:tabs>
            </w:pPr>
          </w:p>
          <w:p w:rsidR="00843681" w:rsidRDefault="00843681" w:rsidP="00843681">
            <w:pPr>
              <w:tabs>
                <w:tab w:val="left" w:pos="3093"/>
                <w:tab w:val="left" w:pos="4007"/>
              </w:tabs>
            </w:pPr>
          </w:p>
          <w:p w:rsidR="00843681" w:rsidRDefault="00843681" w:rsidP="00843681">
            <w:pPr>
              <w:tabs>
                <w:tab w:val="left" w:pos="3093"/>
                <w:tab w:val="left" w:pos="4007"/>
              </w:tabs>
            </w:pPr>
          </w:p>
          <w:p w:rsidR="00843681" w:rsidRDefault="00843681" w:rsidP="00843681">
            <w:pPr>
              <w:tabs>
                <w:tab w:val="left" w:pos="3093"/>
                <w:tab w:val="left" w:pos="4007"/>
              </w:tabs>
            </w:pPr>
          </w:p>
          <w:p w:rsidR="00843681" w:rsidRDefault="00843681" w:rsidP="00843681">
            <w:pPr>
              <w:tabs>
                <w:tab w:val="left" w:pos="3093"/>
                <w:tab w:val="left" w:pos="4007"/>
              </w:tabs>
            </w:pPr>
            <w:r>
              <w:tab/>
            </w:r>
          </w:p>
        </w:tc>
      </w:tr>
      <w:tr w:rsidR="00843681" w:rsidTr="00843681">
        <w:trPr>
          <w:trHeight w:hRule="exact" w:val="516"/>
        </w:trPr>
        <w:tc>
          <w:tcPr>
            <w:tcW w:w="3462" w:type="dxa"/>
          </w:tcPr>
          <w:p w:rsidR="00843681" w:rsidRDefault="00843681" w:rsidP="00843681">
            <w:pPr>
              <w:pStyle w:val="TableParagraph"/>
              <w:spacing w:before="120"/>
              <w:ind w:left="1015"/>
              <w:rPr>
                <w:b/>
              </w:rPr>
            </w:pPr>
            <w:r>
              <w:rPr>
                <w:b/>
              </w:rPr>
              <w:t>Xerox Update</w:t>
            </w:r>
          </w:p>
        </w:tc>
        <w:tc>
          <w:tcPr>
            <w:tcW w:w="10803" w:type="dxa"/>
          </w:tcPr>
          <w:p w:rsidR="00843681" w:rsidRDefault="00843681" w:rsidP="00843681">
            <w:pPr>
              <w:pStyle w:val="TableParagraph"/>
              <w:spacing w:line="242" w:lineRule="auto"/>
              <w:ind w:left="103" w:right="594"/>
            </w:pPr>
            <w:r>
              <w:t>Luke Boehmer, Pharm D reviewed clinical edits, utilization data and trends for ADHD. Dr. Boehmer also discussed the different reasons for denials.</w:t>
            </w:r>
          </w:p>
        </w:tc>
      </w:tr>
      <w:tr w:rsidR="00843681" w:rsidTr="00843681">
        <w:trPr>
          <w:trHeight w:hRule="exact" w:val="768"/>
        </w:trPr>
        <w:tc>
          <w:tcPr>
            <w:tcW w:w="3462" w:type="dxa"/>
          </w:tcPr>
          <w:p w:rsidR="00843681" w:rsidRDefault="00843681" w:rsidP="00843681">
            <w:pPr>
              <w:pStyle w:val="TableParagraph"/>
              <w:spacing w:before="120"/>
              <w:ind w:left="489" w:right="474" w:firstLine="189"/>
              <w:rPr>
                <w:b/>
              </w:rPr>
            </w:pPr>
            <w:r>
              <w:rPr>
                <w:b/>
              </w:rPr>
              <w:t>Program Utilization: Top 25 Drugs Summary</w:t>
            </w:r>
          </w:p>
        </w:tc>
        <w:tc>
          <w:tcPr>
            <w:tcW w:w="10803" w:type="dxa"/>
          </w:tcPr>
          <w:p w:rsidR="00843681" w:rsidRDefault="00843681" w:rsidP="00843681">
            <w:pPr>
              <w:pStyle w:val="TableParagraph"/>
              <w:spacing w:line="248" w:lineRule="exact"/>
              <w:ind w:left="103"/>
            </w:pPr>
            <w:r>
              <w:t>Dr. Boehmer reviewed the Top 25 Drugs Summary Reports for the 4</w:t>
            </w:r>
            <w:r>
              <w:rPr>
                <w:position w:val="10"/>
                <w:sz w:val="14"/>
              </w:rPr>
              <w:t xml:space="preserve">th </w:t>
            </w:r>
            <w:r>
              <w:t>quarter 2015 through the 3</w:t>
            </w:r>
            <w:r>
              <w:rPr>
                <w:position w:val="10"/>
                <w:sz w:val="14"/>
              </w:rPr>
              <w:t xml:space="preserve">rd </w:t>
            </w:r>
            <w:r>
              <w:t>quarter</w:t>
            </w:r>
          </w:p>
          <w:p w:rsidR="00843681" w:rsidRDefault="00843681" w:rsidP="00843681">
            <w:pPr>
              <w:pStyle w:val="TableParagraph"/>
              <w:spacing w:before="1"/>
              <w:ind w:left="103" w:right="1510"/>
            </w:pPr>
            <w:r>
              <w:t>2016. Two versions were presented: one report ranked drug spend by dollars and the other by utilization/claims.</w:t>
            </w:r>
          </w:p>
        </w:tc>
      </w:tr>
      <w:tr w:rsidR="00843681" w:rsidTr="00843681">
        <w:trPr>
          <w:trHeight w:hRule="exact" w:val="1023"/>
        </w:trPr>
        <w:tc>
          <w:tcPr>
            <w:tcW w:w="3462" w:type="dxa"/>
          </w:tcPr>
          <w:p w:rsidR="00843681" w:rsidRDefault="00843681" w:rsidP="00843681">
            <w:pPr>
              <w:pStyle w:val="TableParagraph"/>
              <w:ind w:left="580" w:right="566" w:firstLine="12"/>
              <w:rPr>
                <w:b/>
              </w:rPr>
            </w:pPr>
            <w:r>
              <w:rPr>
                <w:b/>
              </w:rPr>
              <w:t>Call Center Statistics/ CyberAccess Reports</w:t>
            </w:r>
          </w:p>
        </w:tc>
        <w:tc>
          <w:tcPr>
            <w:tcW w:w="10803" w:type="dxa"/>
          </w:tcPr>
          <w:p w:rsidR="00843681" w:rsidRDefault="00843681" w:rsidP="00843681">
            <w:pPr>
              <w:pStyle w:val="TableParagraph"/>
              <w:ind w:left="103" w:right="385"/>
            </w:pPr>
            <w:r>
              <w:t>A handout detailing pharmacy help desk call center activity was provided for all attending. Cyber Access Active User Counts and Logging Information reports detailing activity were shared. Dr. Boehmer reviewed how many sites/physical locations are trained and have access to CyberAccess. Reports also detailed the number and type of prescribers and active users on CyberAccess.</w:t>
            </w:r>
          </w:p>
        </w:tc>
      </w:tr>
      <w:tr w:rsidR="00843681" w:rsidTr="00843681">
        <w:trPr>
          <w:trHeight w:hRule="exact" w:val="1025"/>
        </w:trPr>
        <w:tc>
          <w:tcPr>
            <w:tcW w:w="3462" w:type="dxa"/>
          </w:tcPr>
          <w:p w:rsidR="00843681" w:rsidRDefault="00843681" w:rsidP="00843681">
            <w:pPr>
              <w:pStyle w:val="TableParagraph"/>
              <w:spacing w:line="246" w:lineRule="exact"/>
              <w:ind w:left="1284" w:right="1285"/>
              <w:jc w:val="center"/>
              <w:rPr>
                <w:b/>
              </w:rPr>
            </w:pPr>
            <w:r>
              <w:rPr>
                <w:b/>
              </w:rPr>
              <w:t>Adjourn</w:t>
            </w:r>
          </w:p>
        </w:tc>
        <w:tc>
          <w:tcPr>
            <w:tcW w:w="10803" w:type="dxa"/>
          </w:tcPr>
          <w:p w:rsidR="00843681" w:rsidRDefault="00843681" w:rsidP="00843681">
            <w:pPr>
              <w:pStyle w:val="TableParagraph"/>
              <w:ind w:left="103" w:right="386"/>
            </w:pPr>
            <w:r>
              <w:t xml:space="preserve">The meeting was adjourned. The next meeting of the Drug Prior Authorization Committee is scheduled for Thursday, </w:t>
            </w:r>
            <w:r>
              <w:rPr>
                <w:b/>
              </w:rPr>
              <w:t xml:space="preserve">March 16, 2017 </w:t>
            </w:r>
            <w:r>
              <w:t xml:space="preserve">at the </w:t>
            </w:r>
            <w:r>
              <w:rPr>
                <w:b/>
              </w:rPr>
              <w:t>Department of Natural Resources, 1101 Riverside Drive, Lacharrette/Nighingale Rooms</w:t>
            </w:r>
            <w:r>
              <w:t xml:space="preserve">. Attendees were advised to check the </w:t>
            </w:r>
            <w:hyperlink r:id="rId10">
              <w:r>
                <w:rPr>
                  <w:u w:val="single"/>
                </w:rPr>
                <w:t xml:space="preserve">calendar of events </w:t>
              </w:r>
            </w:hyperlink>
            <w:r>
              <w:t>on the MHD website for meeting location changes over the next few months.  (See attached roll call)</w:t>
            </w:r>
          </w:p>
        </w:tc>
      </w:tr>
    </w:tbl>
    <w:p w:rsidR="00577741" w:rsidRDefault="00577741">
      <w:pPr>
        <w:rPr>
          <w:sz w:val="2"/>
          <w:szCs w:val="2"/>
        </w:rPr>
      </w:pPr>
    </w:p>
    <w:p w:rsidR="00577741" w:rsidRDefault="00577741">
      <w:pPr>
        <w:rPr>
          <w:sz w:val="2"/>
          <w:szCs w:val="2"/>
        </w:rPr>
        <w:sectPr w:rsidR="00577741">
          <w:pgSz w:w="15840" w:h="12240" w:orient="landscape"/>
          <w:pgMar w:top="1080" w:right="480" w:bottom="1060" w:left="860" w:header="0" w:footer="864" w:gutter="0"/>
          <w:cols w:space="720"/>
        </w:sectPr>
      </w:pPr>
    </w:p>
    <w:p w:rsidR="00577741" w:rsidRDefault="00362DB3">
      <w:pPr>
        <w:pStyle w:val="BodyText"/>
        <w:spacing w:before="75"/>
        <w:ind w:left="120"/>
      </w:pPr>
      <w:r>
        <w:lastRenderedPageBreak/>
        <w:t>Roll Call Votes – December 15, 2016</w:t>
      </w:r>
    </w:p>
    <w:p w:rsidR="00577741" w:rsidRDefault="00577741">
      <w:pPr>
        <w:spacing w:before="2"/>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1440"/>
        <w:gridCol w:w="1517"/>
        <w:gridCol w:w="1550"/>
        <w:gridCol w:w="1764"/>
        <w:gridCol w:w="1529"/>
        <w:gridCol w:w="1441"/>
        <w:gridCol w:w="1385"/>
      </w:tblGrid>
      <w:tr w:rsidR="00577741">
        <w:trPr>
          <w:trHeight w:hRule="exact" w:val="1351"/>
        </w:trPr>
        <w:tc>
          <w:tcPr>
            <w:tcW w:w="2655"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rPr>
                <w:b/>
                <w:sz w:val="27"/>
              </w:rPr>
            </w:pPr>
          </w:p>
          <w:p w:rsidR="00577741" w:rsidRDefault="00362DB3">
            <w:pPr>
              <w:pStyle w:val="TableParagraph"/>
              <w:ind w:left="103"/>
              <w:rPr>
                <w:rFonts w:ascii="Calibri"/>
                <w:b/>
              </w:rPr>
            </w:pPr>
            <w:r>
              <w:rPr>
                <w:rFonts w:ascii="Calibri"/>
                <w:b/>
                <w:u w:val="single"/>
              </w:rPr>
              <w:t>Member</w:t>
            </w:r>
          </w:p>
        </w:tc>
        <w:tc>
          <w:tcPr>
            <w:tcW w:w="1440"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rPr>
                <w:b/>
                <w:sz w:val="27"/>
              </w:rPr>
            </w:pPr>
          </w:p>
          <w:p w:rsidR="00577741" w:rsidRDefault="00362DB3">
            <w:pPr>
              <w:pStyle w:val="TableParagraph"/>
              <w:ind w:left="335"/>
              <w:rPr>
                <w:rFonts w:ascii="Calibri"/>
                <w:b/>
              </w:rPr>
            </w:pPr>
            <w:r>
              <w:rPr>
                <w:rFonts w:ascii="Calibri"/>
                <w:b/>
              </w:rPr>
              <w:t>Minutes</w:t>
            </w:r>
          </w:p>
        </w:tc>
        <w:tc>
          <w:tcPr>
            <w:tcW w:w="1517" w:type="dxa"/>
          </w:tcPr>
          <w:p w:rsidR="00577741" w:rsidRDefault="00577741">
            <w:pPr>
              <w:pStyle w:val="TableParagraph"/>
              <w:rPr>
                <w:b/>
              </w:rPr>
            </w:pPr>
          </w:p>
          <w:p w:rsidR="00577741" w:rsidRDefault="00577741">
            <w:pPr>
              <w:pStyle w:val="TableParagraph"/>
              <w:rPr>
                <w:b/>
              </w:rPr>
            </w:pPr>
          </w:p>
          <w:p w:rsidR="00577741" w:rsidRDefault="00577741">
            <w:pPr>
              <w:pStyle w:val="TableParagraph"/>
              <w:spacing w:before="7"/>
              <w:rPr>
                <w:b/>
                <w:sz w:val="25"/>
              </w:rPr>
            </w:pPr>
          </w:p>
          <w:p w:rsidR="00577741" w:rsidRDefault="00362DB3">
            <w:pPr>
              <w:pStyle w:val="TableParagraph"/>
              <w:ind w:left="420" w:right="282" w:hanging="123"/>
              <w:rPr>
                <w:rFonts w:ascii="Calibri"/>
                <w:b/>
              </w:rPr>
            </w:pPr>
            <w:r>
              <w:rPr>
                <w:rFonts w:ascii="Calibri"/>
                <w:b/>
              </w:rPr>
              <w:t>New Drug Review</w:t>
            </w:r>
          </w:p>
        </w:tc>
        <w:tc>
          <w:tcPr>
            <w:tcW w:w="1550" w:type="dxa"/>
          </w:tcPr>
          <w:p w:rsidR="00577741" w:rsidRDefault="00362DB3">
            <w:pPr>
              <w:pStyle w:val="TableParagraph"/>
              <w:ind w:left="103" w:right="183"/>
              <w:rPr>
                <w:rFonts w:ascii="Calibri"/>
                <w:b/>
              </w:rPr>
            </w:pPr>
            <w:r>
              <w:rPr>
                <w:rFonts w:ascii="Calibri"/>
                <w:b/>
              </w:rPr>
              <w:t>Short-Acting/ Short Acting Combination Narcotics Clinical Edit</w:t>
            </w:r>
          </w:p>
        </w:tc>
        <w:tc>
          <w:tcPr>
            <w:tcW w:w="1764" w:type="dxa"/>
          </w:tcPr>
          <w:p w:rsidR="00577741" w:rsidRDefault="00577741">
            <w:pPr>
              <w:pStyle w:val="TableParagraph"/>
              <w:rPr>
                <w:b/>
              </w:rPr>
            </w:pPr>
          </w:p>
          <w:p w:rsidR="00577741" w:rsidRDefault="00577741">
            <w:pPr>
              <w:pStyle w:val="TableParagraph"/>
              <w:spacing w:before="5"/>
              <w:rPr>
                <w:b/>
                <w:sz w:val="24"/>
              </w:rPr>
            </w:pPr>
          </w:p>
          <w:p w:rsidR="00577741" w:rsidRDefault="00362DB3">
            <w:pPr>
              <w:pStyle w:val="TableParagraph"/>
              <w:ind w:left="287" w:right="287"/>
              <w:jc w:val="center"/>
              <w:rPr>
                <w:rFonts w:ascii="Calibri"/>
                <w:b/>
              </w:rPr>
            </w:pPr>
            <w:r>
              <w:rPr>
                <w:rFonts w:ascii="Calibri"/>
                <w:b/>
              </w:rPr>
              <w:t>Botulinium Toxin Type A Clinical Edit</w:t>
            </w:r>
          </w:p>
        </w:tc>
        <w:tc>
          <w:tcPr>
            <w:tcW w:w="1529" w:type="dxa"/>
          </w:tcPr>
          <w:p w:rsidR="00577741" w:rsidRDefault="00577741">
            <w:pPr>
              <w:pStyle w:val="TableParagraph"/>
              <w:rPr>
                <w:b/>
              </w:rPr>
            </w:pPr>
          </w:p>
          <w:p w:rsidR="00577741" w:rsidRDefault="00577741">
            <w:pPr>
              <w:pStyle w:val="TableParagraph"/>
              <w:rPr>
                <w:b/>
              </w:rPr>
            </w:pPr>
          </w:p>
          <w:p w:rsidR="00577741" w:rsidRDefault="00577741">
            <w:pPr>
              <w:pStyle w:val="TableParagraph"/>
              <w:spacing w:before="7"/>
              <w:rPr>
                <w:b/>
                <w:sz w:val="25"/>
              </w:rPr>
            </w:pPr>
          </w:p>
          <w:p w:rsidR="00577741" w:rsidRDefault="00362DB3">
            <w:pPr>
              <w:pStyle w:val="TableParagraph"/>
              <w:ind w:left="441" w:right="209" w:hanging="221"/>
              <w:rPr>
                <w:rFonts w:ascii="Calibri" w:hAnsi="Calibri"/>
                <w:b/>
              </w:rPr>
            </w:pPr>
            <w:r>
              <w:rPr>
                <w:rFonts w:ascii="Calibri" w:hAnsi="Calibri"/>
                <w:b/>
              </w:rPr>
              <w:t>Alzheimer’s Agents</w:t>
            </w:r>
          </w:p>
        </w:tc>
        <w:tc>
          <w:tcPr>
            <w:tcW w:w="1441" w:type="dxa"/>
          </w:tcPr>
          <w:p w:rsidR="00577741" w:rsidRDefault="00577741">
            <w:pPr>
              <w:pStyle w:val="TableParagraph"/>
              <w:rPr>
                <w:b/>
              </w:rPr>
            </w:pPr>
          </w:p>
          <w:p w:rsidR="00577741" w:rsidRDefault="00577741">
            <w:pPr>
              <w:pStyle w:val="TableParagraph"/>
              <w:rPr>
                <w:b/>
              </w:rPr>
            </w:pPr>
          </w:p>
          <w:p w:rsidR="00577741" w:rsidRDefault="00577741">
            <w:pPr>
              <w:pStyle w:val="TableParagraph"/>
              <w:spacing w:before="7"/>
              <w:rPr>
                <w:b/>
                <w:sz w:val="25"/>
              </w:rPr>
            </w:pPr>
          </w:p>
          <w:p w:rsidR="00577741" w:rsidRDefault="00362DB3">
            <w:pPr>
              <w:pStyle w:val="TableParagraph"/>
              <w:ind w:left="398" w:right="196" w:hanging="188"/>
              <w:rPr>
                <w:rFonts w:ascii="Calibri"/>
                <w:b/>
              </w:rPr>
            </w:pPr>
            <w:r>
              <w:rPr>
                <w:rFonts w:ascii="Calibri"/>
                <w:b/>
              </w:rPr>
              <w:t>Antiemetic Agents</w:t>
            </w:r>
          </w:p>
        </w:tc>
        <w:tc>
          <w:tcPr>
            <w:tcW w:w="1385" w:type="dxa"/>
          </w:tcPr>
          <w:p w:rsidR="00577741" w:rsidRDefault="00577741">
            <w:pPr>
              <w:pStyle w:val="TableParagraph"/>
              <w:rPr>
                <w:b/>
              </w:rPr>
            </w:pPr>
          </w:p>
          <w:p w:rsidR="00577741" w:rsidRDefault="00577741">
            <w:pPr>
              <w:pStyle w:val="TableParagraph"/>
              <w:spacing w:before="5"/>
              <w:rPr>
                <w:b/>
                <w:sz w:val="24"/>
              </w:rPr>
            </w:pPr>
          </w:p>
          <w:p w:rsidR="00577741" w:rsidRDefault="00362DB3">
            <w:pPr>
              <w:pStyle w:val="TableParagraph"/>
              <w:ind w:left="290" w:right="287" w:hanging="4"/>
              <w:jc w:val="center"/>
              <w:rPr>
                <w:rFonts w:ascii="Calibri"/>
                <w:b/>
              </w:rPr>
            </w:pPr>
            <w:r>
              <w:rPr>
                <w:rFonts w:ascii="Calibri"/>
                <w:b/>
              </w:rPr>
              <w:t>Cox-II Inhibitor Agents</w:t>
            </w:r>
          </w:p>
        </w:tc>
      </w:tr>
      <w:tr w:rsidR="00577741">
        <w:trPr>
          <w:trHeight w:hRule="exact" w:val="310"/>
        </w:trPr>
        <w:tc>
          <w:tcPr>
            <w:tcW w:w="2655" w:type="dxa"/>
          </w:tcPr>
          <w:p w:rsidR="00577741" w:rsidRDefault="00362DB3">
            <w:pPr>
              <w:pStyle w:val="TableParagraph"/>
              <w:spacing w:before="28"/>
              <w:ind w:left="103"/>
              <w:rPr>
                <w:rFonts w:ascii="Calibri"/>
                <w:b/>
              </w:rPr>
            </w:pPr>
            <w:r>
              <w:rPr>
                <w:rFonts w:ascii="Calibri"/>
                <w:b/>
              </w:rPr>
              <w:t>Conrad Balcer, D.O.</w:t>
            </w:r>
          </w:p>
        </w:tc>
        <w:tc>
          <w:tcPr>
            <w:tcW w:w="1440" w:type="dxa"/>
          </w:tcPr>
          <w:p w:rsidR="00577741" w:rsidRDefault="00362DB3">
            <w:pPr>
              <w:pStyle w:val="TableParagraph"/>
              <w:spacing w:before="13"/>
              <w:jc w:val="center"/>
              <w:rPr>
                <w:rFonts w:ascii="Calibri"/>
              </w:rPr>
            </w:pPr>
            <w:r>
              <w:rPr>
                <w:rFonts w:ascii="Calibri"/>
              </w:rPr>
              <w:t>Y</w:t>
            </w:r>
          </w:p>
        </w:tc>
        <w:tc>
          <w:tcPr>
            <w:tcW w:w="1517" w:type="dxa"/>
          </w:tcPr>
          <w:p w:rsidR="00577741" w:rsidRDefault="00362DB3">
            <w:pPr>
              <w:pStyle w:val="TableParagraph"/>
              <w:spacing w:before="13"/>
              <w:ind w:right="699"/>
              <w:jc w:val="right"/>
              <w:rPr>
                <w:rFonts w:ascii="Calibri"/>
              </w:rPr>
            </w:pPr>
            <w:r>
              <w:rPr>
                <w:rFonts w:ascii="Calibri"/>
              </w:rPr>
              <w:t>Y</w:t>
            </w:r>
          </w:p>
        </w:tc>
        <w:tc>
          <w:tcPr>
            <w:tcW w:w="1550" w:type="dxa"/>
          </w:tcPr>
          <w:p w:rsidR="00577741" w:rsidRDefault="00362DB3">
            <w:pPr>
              <w:pStyle w:val="TableParagraph"/>
              <w:spacing w:before="13"/>
              <w:jc w:val="center"/>
              <w:rPr>
                <w:rFonts w:ascii="Calibri"/>
              </w:rPr>
            </w:pPr>
            <w:r>
              <w:rPr>
                <w:rFonts w:ascii="Calibri"/>
              </w:rPr>
              <w:t>Y</w:t>
            </w:r>
          </w:p>
        </w:tc>
        <w:tc>
          <w:tcPr>
            <w:tcW w:w="1764" w:type="dxa"/>
          </w:tcPr>
          <w:p w:rsidR="00577741" w:rsidRDefault="00362DB3">
            <w:pPr>
              <w:pStyle w:val="TableParagraph"/>
              <w:spacing w:before="13"/>
              <w:jc w:val="center"/>
              <w:rPr>
                <w:rFonts w:ascii="Calibri"/>
              </w:rPr>
            </w:pPr>
            <w:r>
              <w:rPr>
                <w:rFonts w:ascii="Calibri"/>
              </w:rPr>
              <w:t>Y</w:t>
            </w:r>
          </w:p>
        </w:tc>
        <w:tc>
          <w:tcPr>
            <w:tcW w:w="1529" w:type="dxa"/>
          </w:tcPr>
          <w:p w:rsidR="00577741" w:rsidRDefault="00362DB3">
            <w:pPr>
              <w:pStyle w:val="TableParagraph"/>
              <w:spacing w:before="13"/>
              <w:ind w:right="706"/>
              <w:jc w:val="right"/>
              <w:rPr>
                <w:rFonts w:ascii="Calibri"/>
              </w:rPr>
            </w:pPr>
            <w:r>
              <w:rPr>
                <w:rFonts w:ascii="Calibri"/>
              </w:rPr>
              <w:t>Y</w:t>
            </w:r>
          </w:p>
        </w:tc>
        <w:tc>
          <w:tcPr>
            <w:tcW w:w="1441" w:type="dxa"/>
          </w:tcPr>
          <w:p w:rsidR="00577741" w:rsidRDefault="00362DB3">
            <w:pPr>
              <w:pStyle w:val="TableParagraph"/>
              <w:spacing w:before="13"/>
              <w:ind w:right="660"/>
              <w:jc w:val="right"/>
              <w:rPr>
                <w:rFonts w:ascii="Calibri"/>
              </w:rPr>
            </w:pPr>
            <w:r>
              <w:rPr>
                <w:rFonts w:ascii="Calibri"/>
              </w:rPr>
              <w:t>Y</w:t>
            </w:r>
          </w:p>
        </w:tc>
        <w:tc>
          <w:tcPr>
            <w:tcW w:w="1385" w:type="dxa"/>
          </w:tcPr>
          <w:p w:rsidR="00577741" w:rsidRDefault="00362DB3">
            <w:pPr>
              <w:pStyle w:val="TableParagraph"/>
              <w:spacing w:before="13"/>
              <w:jc w:val="center"/>
              <w:rPr>
                <w:rFonts w:ascii="Calibri"/>
              </w:rPr>
            </w:pPr>
            <w:r>
              <w:rPr>
                <w:rFonts w:ascii="Calibri"/>
              </w:rPr>
              <w:t>Y</w:t>
            </w:r>
          </w:p>
        </w:tc>
      </w:tr>
      <w:tr w:rsidR="00577741">
        <w:trPr>
          <w:trHeight w:hRule="exact" w:val="312"/>
        </w:trPr>
        <w:tc>
          <w:tcPr>
            <w:tcW w:w="2655" w:type="dxa"/>
          </w:tcPr>
          <w:p w:rsidR="00577741" w:rsidRDefault="00362DB3">
            <w:pPr>
              <w:pStyle w:val="TableParagraph"/>
              <w:spacing w:before="30"/>
              <w:ind w:left="103"/>
              <w:rPr>
                <w:rFonts w:ascii="Calibri"/>
                <w:b/>
              </w:rPr>
            </w:pPr>
            <w:r>
              <w:rPr>
                <w:rFonts w:ascii="Calibri"/>
                <w:b/>
              </w:rPr>
              <w:t>Pat Bryant, Pharm D</w:t>
            </w:r>
          </w:p>
        </w:tc>
        <w:tc>
          <w:tcPr>
            <w:tcW w:w="1440" w:type="dxa"/>
          </w:tcPr>
          <w:p w:rsidR="00577741" w:rsidRDefault="00362DB3">
            <w:pPr>
              <w:pStyle w:val="TableParagraph"/>
              <w:spacing w:before="13"/>
              <w:ind w:left="585" w:right="585"/>
              <w:jc w:val="center"/>
              <w:rPr>
                <w:rFonts w:ascii="Calibri"/>
              </w:rPr>
            </w:pPr>
            <w:r>
              <w:rPr>
                <w:rFonts w:ascii="Calibri"/>
              </w:rPr>
              <w:t>Y2</w:t>
            </w:r>
          </w:p>
        </w:tc>
        <w:tc>
          <w:tcPr>
            <w:tcW w:w="1517" w:type="dxa"/>
          </w:tcPr>
          <w:p w:rsidR="00577741" w:rsidRDefault="00362DB3">
            <w:pPr>
              <w:pStyle w:val="TableParagraph"/>
              <w:spacing w:before="13"/>
              <w:ind w:right="603"/>
              <w:jc w:val="right"/>
              <w:rPr>
                <w:rFonts w:ascii="Calibri"/>
              </w:rPr>
            </w:pPr>
            <w:r>
              <w:rPr>
                <w:rFonts w:ascii="Calibri"/>
              </w:rPr>
              <w:t>YM</w:t>
            </w:r>
          </w:p>
        </w:tc>
        <w:tc>
          <w:tcPr>
            <w:tcW w:w="1550" w:type="dxa"/>
          </w:tcPr>
          <w:p w:rsidR="00577741" w:rsidRDefault="00362DB3">
            <w:pPr>
              <w:pStyle w:val="TableParagraph"/>
              <w:spacing w:before="13"/>
              <w:jc w:val="center"/>
              <w:rPr>
                <w:rFonts w:ascii="Calibri"/>
              </w:rPr>
            </w:pPr>
            <w:r>
              <w:rPr>
                <w:rFonts w:ascii="Calibri"/>
              </w:rPr>
              <w:t>Y</w:t>
            </w:r>
          </w:p>
        </w:tc>
        <w:tc>
          <w:tcPr>
            <w:tcW w:w="1764" w:type="dxa"/>
          </w:tcPr>
          <w:p w:rsidR="00577741" w:rsidRDefault="00362DB3">
            <w:pPr>
              <w:pStyle w:val="TableParagraph"/>
              <w:spacing w:before="13"/>
              <w:jc w:val="center"/>
              <w:rPr>
                <w:rFonts w:ascii="Calibri"/>
              </w:rPr>
            </w:pPr>
            <w:r>
              <w:rPr>
                <w:rFonts w:ascii="Calibri"/>
              </w:rPr>
              <w:t>Y</w:t>
            </w:r>
          </w:p>
        </w:tc>
        <w:tc>
          <w:tcPr>
            <w:tcW w:w="1529" w:type="dxa"/>
          </w:tcPr>
          <w:p w:rsidR="00577741" w:rsidRDefault="00362DB3">
            <w:pPr>
              <w:pStyle w:val="TableParagraph"/>
              <w:spacing w:before="13"/>
              <w:ind w:right="706"/>
              <w:jc w:val="right"/>
              <w:rPr>
                <w:rFonts w:ascii="Calibri"/>
              </w:rPr>
            </w:pPr>
            <w:r>
              <w:rPr>
                <w:rFonts w:ascii="Calibri"/>
              </w:rPr>
              <w:t>Y</w:t>
            </w:r>
          </w:p>
        </w:tc>
        <w:tc>
          <w:tcPr>
            <w:tcW w:w="1441" w:type="dxa"/>
          </w:tcPr>
          <w:p w:rsidR="00577741" w:rsidRDefault="00362DB3">
            <w:pPr>
              <w:pStyle w:val="TableParagraph"/>
              <w:spacing w:before="13"/>
              <w:ind w:right="660"/>
              <w:jc w:val="right"/>
              <w:rPr>
                <w:rFonts w:ascii="Calibri"/>
              </w:rPr>
            </w:pPr>
            <w:r>
              <w:rPr>
                <w:rFonts w:ascii="Calibri"/>
              </w:rPr>
              <w:t>Y</w:t>
            </w:r>
          </w:p>
        </w:tc>
        <w:tc>
          <w:tcPr>
            <w:tcW w:w="1385" w:type="dxa"/>
          </w:tcPr>
          <w:p w:rsidR="00577741" w:rsidRDefault="00362DB3">
            <w:pPr>
              <w:pStyle w:val="TableParagraph"/>
              <w:spacing w:before="13"/>
              <w:ind w:right="574"/>
              <w:jc w:val="right"/>
              <w:rPr>
                <w:rFonts w:ascii="Calibri"/>
              </w:rPr>
            </w:pPr>
            <w:r>
              <w:rPr>
                <w:rFonts w:ascii="Calibri"/>
              </w:rPr>
              <w:t>Y2</w:t>
            </w:r>
          </w:p>
        </w:tc>
      </w:tr>
      <w:tr w:rsidR="00577741">
        <w:trPr>
          <w:trHeight w:hRule="exact" w:val="310"/>
        </w:trPr>
        <w:tc>
          <w:tcPr>
            <w:tcW w:w="2655" w:type="dxa"/>
          </w:tcPr>
          <w:p w:rsidR="00577741" w:rsidRDefault="00362DB3">
            <w:pPr>
              <w:pStyle w:val="TableParagraph"/>
              <w:spacing w:before="28"/>
              <w:ind w:left="103"/>
              <w:rPr>
                <w:rFonts w:ascii="Calibri"/>
                <w:b/>
              </w:rPr>
            </w:pPr>
            <w:r>
              <w:rPr>
                <w:rFonts w:ascii="Calibri"/>
                <w:b/>
              </w:rPr>
              <w:t>Laura Kingsley, Pharm D</w:t>
            </w:r>
          </w:p>
        </w:tc>
        <w:tc>
          <w:tcPr>
            <w:tcW w:w="1440" w:type="dxa"/>
          </w:tcPr>
          <w:p w:rsidR="00577741" w:rsidRDefault="00362DB3">
            <w:pPr>
              <w:pStyle w:val="TableParagraph"/>
              <w:spacing w:before="11"/>
              <w:jc w:val="center"/>
              <w:rPr>
                <w:rFonts w:ascii="Calibri"/>
              </w:rPr>
            </w:pPr>
            <w:r>
              <w:rPr>
                <w:rFonts w:ascii="Calibri"/>
              </w:rPr>
              <w:t>Y</w:t>
            </w:r>
          </w:p>
        </w:tc>
        <w:tc>
          <w:tcPr>
            <w:tcW w:w="1517" w:type="dxa"/>
          </w:tcPr>
          <w:p w:rsidR="00577741" w:rsidRDefault="00362DB3">
            <w:pPr>
              <w:pStyle w:val="TableParagraph"/>
              <w:spacing w:before="11"/>
              <w:ind w:right="699"/>
              <w:jc w:val="right"/>
              <w:rPr>
                <w:rFonts w:ascii="Calibri"/>
              </w:rPr>
            </w:pPr>
            <w:r>
              <w:rPr>
                <w:rFonts w:ascii="Calibri"/>
              </w:rPr>
              <w:t>Y</w:t>
            </w:r>
          </w:p>
        </w:tc>
        <w:tc>
          <w:tcPr>
            <w:tcW w:w="1550" w:type="dxa"/>
          </w:tcPr>
          <w:p w:rsidR="00577741" w:rsidRDefault="00362DB3">
            <w:pPr>
              <w:pStyle w:val="TableParagraph"/>
              <w:spacing w:before="11"/>
              <w:jc w:val="center"/>
              <w:rPr>
                <w:rFonts w:ascii="Calibri"/>
              </w:rPr>
            </w:pPr>
            <w:r>
              <w:rPr>
                <w:rFonts w:ascii="Calibri"/>
              </w:rPr>
              <w:t>Y</w:t>
            </w:r>
          </w:p>
        </w:tc>
        <w:tc>
          <w:tcPr>
            <w:tcW w:w="1764" w:type="dxa"/>
          </w:tcPr>
          <w:p w:rsidR="00577741" w:rsidRDefault="00362DB3">
            <w:pPr>
              <w:pStyle w:val="TableParagraph"/>
              <w:spacing w:before="11"/>
              <w:jc w:val="center"/>
              <w:rPr>
                <w:rFonts w:ascii="Calibri"/>
              </w:rPr>
            </w:pPr>
            <w:r>
              <w:rPr>
                <w:rFonts w:ascii="Calibri"/>
              </w:rPr>
              <w:t>Y</w:t>
            </w:r>
          </w:p>
        </w:tc>
        <w:tc>
          <w:tcPr>
            <w:tcW w:w="1529" w:type="dxa"/>
          </w:tcPr>
          <w:p w:rsidR="00577741" w:rsidRDefault="00362DB3">
            <w:pPr>
              <w:pStyle w:val="TableParagraph"/>
              <w:spacing w:before="11"/>
              <w:ind w:right="648"/>
              <w:jc w:val="right"/>
              <w:rPr>
                <w:rFonts w:ascii="Calibri"/>
              </w:rPr>
            </w:pPr>
            <w:r>
              <w:rPr>
                <w:rFonts w:ascii="Calibri"/>
              </w:rPr>
              <w:t>Y2</w:t>
            </w:r>
          </w:p>
        </w:tc>
        <w:tc>
          <w:tcPr>
            <w:tcW w:w="1441" w:type="dxa"/>
          </w:tcPr>
          <w:p w:rsidR="00577741" w:rsidRDefault="00362DB3">
            <w:pPr>
              <w:pStyle w:val="TableParagraph"/>
              <w:spacing w:before="11"/>
              <w:ind w:right="603"/>
              <w:jc w:val="right"/>
              <w:rPr>
                <w:rFonts w:ascii="Calibri"/>
              </w:rPr>
            </w:pPr>
            <w:r>
              <w:rPr>
                <w:rFonts w:ascii="Calibri"/>
              </w:rPr>
              <w:t>Y2</w:t>
            </w:r>
          </w:p>
        </w:tc>
        <w:tc>
          <w:tcPr>
            <w:tcW w:w="1385" w:type="dxa"/>
          </w:tcPr>
          <w:p w:rsidR="00577741" w:rsidRDefault="00362DB3">
            <w:pPr>
              <w:pStyle w:val="TableParagraph"/>
              <w:spacing w:before="11"/>
              <w:jc w:val="center"/>
              <w:rPr>
                <w:rFonts w:ascii="Calibri"/>
              </w:rPr>
            </w:pPr>
            <w:r>
              <w:rPr>
                <w:rFonts w:ascii="Calibri"/>
              </w:rPr>
              <w:t>Y</w:t>
            </w:r>
          </w:p>
        </w:tc>
      </w:tr>
      <w:tr w:rsidR="00577741">
        <w:trPr>
          <w:trHeight w:hRule="exact" w:val="610"/>
        </w:trPr>
        <w:tc>
          <w:tcPr>
            <w:tcW w:w="2655" w:type="dxa"/>
          </w:tcPr>
          <w:p w:rsidR="00577741" w:rsidRDefault="00362DB3">
            <w:pPr>
              <w:pStyle w:val="TableParagraph"/>
              <w:spacing w:before="163"/>
              <w:ind w:left="103"/>
              <w:rPr>
                <w:rFonts w:ascii="Calibri"/>
                <w:b/>
              </w:rPr>
            </w:pPr>
            <w:r>
              <w:rPr>
                <w:rFonts w:ascii="Calibri"/>
                <w:b/>
              </w:rPr>
              <w:t>Laine Young-Walker, M.D.</w:t>
            </w:r>
          </w:p>
        </w:tc>
        <w:tc>
          <w:tcPr>
            <w:tcW w:w="1440" w:type="dxa"/>
          </w:tcPr>
          <w:p w:rsidR="00577741" w:rsidRDefault="00362DB3">
            <w:pPr>
              <w:pStyle w:val="TableParagraph"/>
              <w:spacing w:before="163"/>
              <w:ind w:left="103"/>
              <w:rPr>
                <w:rFonts w:ascii="Calibri"/>
              </w:rPr>
            </w:pPr>
            <w:r>
              <w:rPr>
                <w:rFonts w:ascii="Calibri"/>
              </w:rPr>
              <w:t>YM</w:t>
            </w:r>
          </w:p>
        </w:tc>
        <w:tc>
          <w:tcPr>
            <w:tcW w:w="1517" w:type="dxa"/>
          </w:tcPr>
          <w:p w:rsidR="00577741" w:rsidRDefault="00362DB3">
            <w:pPr>
              <w:pStyle w:val="TableParagraph"/>
              <w:spacing w:before="163"/>
              <w:ind w:left="103"/>
              <w:rPr>
                <w:rFonts w:ascii="Calibri"/>
              </w:rPr>
            </w:pPr>
            <w:r>
              <w:rPr>
                <w:rFonts w:ascii="Calibri"/>
              </w:rPr>
              <w:t>Y</w:t>
            </w:r>
          </w:p>
        </w:tc>
        <w:tc>
          <w:tcPr>
            <w:tcW w:w="1550" w:type="dxa"/>
          </w:tcPr>
          <w:p w:rsidR="00577741" w:rsidRDefault="00362DB3">
            <w:pPr>
              <w:pStyle w:val="TableParagraph"/>
              <w:spacing w:before="163"/>
              <w:ind w:left="103"/>
              <w:rPr>
                <w:rFonts w:ascii="Calibri"/>
              </w:rPr>
            </w:pPr>
            <w:r>
              <w:rPr>
                <w:rFonts w:ascii="Calibri"/>
              </w:rPr>
              <w:t>Y2</w:t>
            </w:r>
          </w:p>
        </w:tc>
        <w:tc>
          <w:tcPr>
            <w:tcW w:w="1764" w:type="dxa"/>
          </w:tcPr>
          <w:p w:rsidR="00577741" w:rsidRDefault="00362DB3">
            <w:pPr>
              <w:pStyle w:val="TableParagraph"/>
              <w:spacing w:before="163"/>
              <w:ind w:left="103"/>
              <w:rPr>
                <w:rFonts w:ascii="Calibri"/>
              </w:rPr>
            </w:pPr>
            <w:r>
              <w:rPr>
                <w:rFonts w:ascii="Calibri"/>
              </w:rPr>
              <w:t>Y2</w:t>
            </w:r>
          </w:p>
        </w:tc>
        <w:tc>
          <w:tcPr>
            <w:tcW w:w="1529" w:type="dxa"/>
          </w:tcPr>
          <w:p w:rsidR="00577741" w:rsidRDefault="00362DB3">
            <w:pPr>
              <w:pStyle w:val="TableParagraph"/>
              <w:spacing w:before="163"/>
              <w:ind w:left="100"/>
              <w:rPr>
                <w:rFonts w:ascii="Calibri"/>
              </w:rPr>
            </w:pPr>
            <w:r>
              <w:rPr>
                <w:rFonts w:ascii="Calibri"/>
              </w:rPr>
              <w:t>YM</w:t>
            </w:r>
          </w:p>
        </w:tc>
        <w:tc>
          <w:tcPr>
            <w:tcW w:w="1441" w:type="dxa"/>
          </w:tcPr>
          <w:p w:rsidR="00577741" w:rsidRDefault="00362DB3">
            <w:pPr>
              <w:pStyle w:val="TableParagraph"/>
              <w:spacing w:before="163"/>
              <w:ind w:left="103"/>
              <w:rPr>
                <w:rFonts w:ascii="Calibri"/>
              </w:rPr>
            </w:pPr>
            <w:r>
              <w:rPr>
                <w:rFonts w:ascii="Calibri"/>
              </w:rPr>
              <w:t>YM</w:t>
            </w:r>
          </w:p>
        </w:tc>
        <w:tc>
          <w:tcPr>
            <w:tcW w:w="1385" w:type="dxa"/>
          </w:tcPr>
          <w:p w:rsidR="00577741" w:rsidRDefault="00362DB3">
            <w:pPr>
              <w:pStyle w:val="TableParagraph"/>
              <w:spacing w:before="163"/>
              <w:ind w:left="103"/>
              <w:rPr>
                <w:rFonts w:ascii="Calibri"/>
              </w:rPr>
            </w:pPr>
            <w:r>
              <w:rPr>
                <w:rFonts w:ascii="Calibri"/>
              </w:rPr>
              <w:t>Y</w:t>
            </w:r>
          </w:p>
        </w:tc>
      </w:tr>
      <w:tr w:rsidR="00577741">
        <w:trPr>
          <w:trHeight w:hRule="exact" w:val="310"/>
        </w:trPr>
        <w:tc>
          <w:tcPr>
            <w:tcW w:w="2655" w:type="dxa"/>
          </w:tcPr>
          <w:p w:rsidR="00577741" w:rsidRDefault="00362DB3">
            <w:pPr>
              <w:pStyle w:val="TableParagraph"/>
              <w:spacing w:before="28"/>
              <w:ind w:left="103"/>
              <w:rPr>
                <w:rFonts w:ascii="Calibri"/>
                <w:b/>
              </w:rPr>
            </w:pPr>
            <w:r>
              <w:rPr>
                <w:rFonts w:ascii="Calibri"/>
                <w:b/>
              </w:rPr>
              <w:t>Morgan Sperry, Pharm D</w:t>
            </w:r>
          </w:p>
        </w:tc>
        <w:tc>
          <w:tcPr>
            <w:tcW w:w="1440" w:type="dxa"/>
          </w:tcPr>
          <w:p w:rsidR="00577741" w:rsidRDefault="00362DB3">
            <w:pPr>
              <w:pStyle w:val="TableParagraph"/>
              <w:spacing w:before="13"/>
              <w:jc w:val="center"/>
              <w:rPr>
                <w:rFonts w:ascii="Calibri"/>
              </w:rPr>
            </w:pPr>
            <w:r>
              <w:rPr>
                <w:rFonts w:ascii="Calibri"/>
              </w:rPr>
              <w:t>-</w:t>
            </w:r>
          </w:p>
        </w:tc>
        <w:tc>
          <w:tcPr>
            <w:tcW w:w="1517" w:type="dxa"/>
          </w:tcPr>
          <w:p w:rsidR="00577741" w:rsidRDefault="00362DB3">
            <w:pPr>
              <w:pStyle w:val="TableParagraph"/>
              <w:spacing w:before="13"/>
              <w:jc w:val="center"/>
              <w:rPr>
                <w:rFonts w:ascii="Calibri"/>
              </w:rPr>
            </w:pPr>
            <w:r>
              <w:rPr>
                <w:rFonts w:ascii="Calibri"/>
              </w:rPr>
              <w:t>-</w:t>
            </w:r>
          </w:p>
        </w:tc>
        <w:tc>
          <w:tcPr>
            <w:tcW w:w="1550" w:type="dxa"/>
          </w:tcPr>
          <w:p w:rsidR="00577741" w:rsidRDefault="00362DB3">
            <w:pPr>
              <w:pStyle w:val="TableParagraph"/>
              <w:spacing w:before="13"/>
              <w:jc w:val="center"/>
              <w:rPr>
                <w:rFonts w:ascii="Calibri"/>
              </w:rPr>
            </w:pPr>
            <w:r>
              <w:rPr>
                <w:rFonts w:ascii="Calibri"/>
              </w:rPr>
              <w:t>-</w:t>
            </w:r>
          </w:p>
        </w:tc>
        <w:tc>
          <w:tcPr>
            <w:tcW w:w="1764" w:type="dxa"/>
          </w:tcPr>
          <w:p w:rsidR="00577741" w:rsidRDefault="00362DB3">
            <w:pPr>
              <w:pStyle w:val="TableParagraph"/>
              <w:spacing w:before="13"/>
              <w:ind w:right="1"/>
              <w:jc w:val="center"/>
              <w:rPr>
                <w:rFonts w:ascii="Calibri"/>
              </w:rPr>
            </w:pPr>
            <w:r>
              <w:rPr>
                <w:rFonts w:ascii="Calibri"/>
              </w:rPr>
              <w:t>-</w:t>
            </w:r>
          </w:p>
        </w:tc>
        <w:tc>
          <w:tcPr>
            <w:tcW w:w="1529" w:type="dxa"/>
          </w:tcPr>
          <w:p w:rsidR="00577741" w:rsidRDefault="00362DB3">
            <w:pPr>
              <w:pStyle w:val="TableParagraph"/>
              <w:spacing w:before="13"/>
              <w:ind w:right="727"/>
              <w:jc w:val="right"/>
              <w:rPr>
                <w:rFonts w:ascii="Calibri"/>
              </w:rPr>
            </w:pPr>
            <w:r>
              <w:rPr>
                <w:rFonts w:ascii="Calibri"/>
              </w:rPr>
              <w:t>-</w:t>
            </w:r>
          </w:p>
        </w:tc>
        <w:tc>
          <w:tcPr>
            <w:tcW w:w="1441" w:type="dxa"/>
          </w:tcPr>
          <w:p w:rsidR="00577741" w:rsidRDefault="00362DB3">
            <w:pPr>
              <w:pStyle w:val="TableParagraph"/>
              <w:spacing w:before="13"/>
              <w:jc w:val="center"/>
              <w:rPr>
                <w:rFonts w:ascii="Calibri"/>
              </w:rPr>
            </w:pPr>
            <w:r>
              <w:rPr>
                <w:rFonts w:ascii="Calibri"/>
              </w:rPr>
              <w:t>-</w:t>
            </w:r>
          </w:p>
        </w:tc>
        <w:tc>
          <w:tcPr>
            <w:tcW w:w="1385" w:type="dxa"/>
          </w:tcPr>
          <w:p w:rsidR="00577741" w:rsidRDefault="00362DB3">
            <w:pPr>
              <w:pStyle w:val="TableParagraph"/>
              <w:spacing w:before="13"/>
              <w:jc w:val="center"/>
              <w:rPr>
                <w:rFonts w:ascii="Calibri"/>
              </w:rPr>
            </w:pPr>
            <w:r>
              <w:rPr>
                <w:rFonts w:ascii="Calibri"/>
              </w:rPr>
              <w:t>-</w:t>
            </w:r>
          </w:p>
        </w:tc>
      </w:tr>
      <w:tr w:rsidR="00577741">
        <w:trPr>
          <w:trHeight w:hRule="exact" w:val="547"/>
        </w:trPr>
        <w:tc>
          <w:tcPr>
            <w:tcW w:w="2655" w:type="dxa"/>
          </w:tcPr>
          <w:p w:rsidR="00577741" w:rsidRDefault="00362DB3">
            <w:pPr>
              <w:pStyle w:val="TableParagraph"/>
              <w:ind w:left="103" w:right="211"/>
              <w:rPr>
                <w:rFonts w:ascii="Calibri"/>
                <w:b/>
              </w:rPr>
            </w:pPr>
            <w:r>
              <w:rPr>
                <w:rFonts w:ascii="Calibri"/>
                <w:b/>
              </w:rPr>
              <w:t>Jennifer Kemp-Oestriech, Pharm D</w:t>
            </w:r>
          </w:p>
        </w:tc>
        <w:tc>
          <w:tcPr>
            <w:tcW w:w="1440" w:type="dxa"/>
          </w:tcPr>
          <w:p w:rsidR="00577741" w:rsidRDefault="00362DB3">
            <w:pPr>
              <w:pStyle w:val="TableParagraph"/>
              <w:spacing w:before="131"/>
              <w:jc w:val="center"/>
              <w:rPr>
                <w:rFonts w:ascii="Calibri"/>
              </w:rPr>
            </w:pPr>
            <w:r>
              <w:rPr>
                <w:rFonts w:ascii="Calibri"/>
              </w:rPr>
              <w:t>Y</w:t>
            </w:r>
          </w:p>
        </w:tc>
        <w:tc>
          <w:tcPr>
            <w:tcW w:w="1517" w:type="dxa"/>
          </w:tcPr>
          <w:p w:rsidR="00577741" w:rsidRDefault="00362DB3">
            <w:pPr>
              <w:pStyle w:val="TableParagraph"/>
              <w:spacing w:before="131"/>
              <w:ind w:right="642"/>
              <w:jc w:val="right"/>
              <w:rPr>
                <w:rFonts w:ascii="Calibri"/>
              </w:rPr>
            </w:pPr>
            <w:r>
              <w:rPr>
                <w:rFonts w:ascii="Calibri"/>
              </w:rPr>
              <w:t>Y2</w:t>
            </w:r>
          </w:p>
        </w:tc>
        <w:tc>
          <w:tcPr>
            <w:tcW w:w="1550" w:type="dxa"/>
          </w:tcPr>
          <w:p w:rsidR="00577741" w:rsidRDefault="00362DB3">
            <w:pPr>
              <w:pStyle w:val="TableParagraph"/>
              <w:spacing w:before="131"/>
              <w:ind w:left="602" w:right="602"/>
              <w:jc w:val="center"/>
              <w:rPr>
                <w:rFonts w:ascii="Calibri"/>
              </w:rPr>
            </w:pPr>
            <w:r>
              <w:rPr>
                <w:rFonts w:ascii="Calibri"/>
              </w:rPr>
              <w:t>YM</w:t>
            </w:r>
          </w:p>
        </w:tc>
        <w:tc>
          <w:tcPr>
            <w:tcW w:w="1764" w:type="dxa"/>
          </w:tcPr>
          <w:p w:rsidR="00577741" w:rsidRDefault="00362DB3">
            <w:pPr>
              <w:pStyle w:val="TableParagraph"/>
              <w:spacing w:before="131"/>
              <w:ind w:left="287" w:right="286"/>
              <w:jc w:val="center"/>
              <w:rPr>
                <w:rFonts w:ascii="Calibri"/>
              </w:rPr>
            </w:pPr>
            <w:r>
              <w:rPr>
                <w:rFonts w:ascii="Calibri"/>
              </w:rPr>
              <w:t>YM</w:t>
            </w:r>
          </w:p>
        </w:tc>
        <w:tc>
          <w:tcPr>
            <w:tcW w:w="1529" w:type="dxa"/>
          </w:tcPr>
          <w:p w:rsidR="00577741" w:rsidRDefault="00362DB3">
            <w:pPr>
              <w:pStyle w:val="TableParagraph"/>
              <w:spacing w:before="131"/>
              <w:ind w:right="706"/>
              <w:jc w:val="right"/>
              <w:rPr>
                <w:rFonts w:ascii="Calibri"/>
              </w:rPr>
            </w:pPr>
            <w:r>
              <w:rPr>
                <w:rFonts w:ascii="Calibri"/>
              </w:rPr>
              <w:t>Y</w:t>
            </w:r>
          </w:p>
        </w:tc>
        <w:tc>
          <w:tcPr>
            <w:tcW w:w="1441" w:type="dxa"/>
          </w:tcPr>
          <w:p w:rsidR="00577741" w:rsidRDefault="00362DB3">
            <w:pPr>
              <w:pStyle w:val="TableParagraph"/>
              <w:spacing w:before="131"/>
              <w:ind w:right="660"/>
              <w:jc w:val="right"/>
              <w:rPr>
                <w:rFonts w:ascii="Calibri"/>
              </w:rPr>
            </w:pPr>
            <w:r>
              <w:rPr>
                <w:rFonts w:ascii="Calibri"/>
              </w:rPr>
              <w:t>Y</w:t>
            </w:r>
          </w:p>
        </w:tc>
        <w:tc>
          <w:tcPr>
            <w:tcW w:w="1385" w:type="dxa"/>
          </w:tcPr>
          <w:p w:rsidR="00577741" w:rsidRDefault="00362DB3">
            <w:pPr>
              <w:pStyle w:val="TableParagraph"/>
              <w:spacing w:before="131"/>
              <w:ind w:right="536"/>
              <w:jc w:val="right"/>
              <w:rPr>
                <w:rFonts w:ascii="Calibri"/>
              </w:rPr>
            </w:pPr>
            <w:r>
              <w:rPr>
                <w:rFonts w:ascii="Calibri"/>
              </w:rPr>
              <w:t>YM</w:t>
            </w:r>
          </w:p>
        </w:tc>
      </w:tr>
    </w:tbl>
    <w:p w:rsidR="00577741" w:rsidRDefault="00577741">
      <w:pPr>
        <w:rPr>
          <w:b/>
          <w:sz w:val="20"/>
        </w:rPr>
      </w:pPr>
    </w:p>
    <w:p w:rsidR="00577741" w:rsidRDefault="00577741">
      <w:pPr>
        <w:spacing w:before="9"/>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1466"/>
        <w:gridCol w:w="1486"/>
        <w:gridCol w:w="1574"/>
        <w:gridCol w:w="1839"/>
        <w:gridCol w:w="1505"/>
        <w:gridCol w:w="1383"/>
        <w:gridCol w:w="1385"/>
      </w:tblGrid>
      <w:tr w:rsidR="00577741">
        <w:trPr>
          <w:trHeight w:hRule="exact" w:val="1196"/>
        </w:trPr>
        <w:tc>
          <w:tcPr>
            <w:tcW w:w="2643"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362DB3">
            <w:pPr>
              <w:pStyle w:val="TableParagraph"/>
              <w:spacing w:before="157"/>
              <w:ind w:left="103"/>
              <w:rPr>
                <w:rFonts w:ascii="Calibri"/>
                <w:b/>
              </w:rPr>
            </w:pPr>
            <w:r>
              <w:rPr>
                <w:rFonts w:ascii="Calibri"/>
                <w:b/>
                <w:u w:val="single"/>
              </w:rPr>
              <w:t>Member</w:t>
            </w:r>
          </w:p>
        </w:tc>
        <w:tc>
          <w:tcPr>
            <w:tcW w:w="1466"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362DB3">
            <w:pPr>
              <w:pStyle w:val="TableParagraph"/>
              <w:spacing w:before="157"/>
              <w:ind w:left="103"/>
              <w:rPr>
                <w:rFonts w:ascii="Calibri"/>
                <w:b/>
              </w:rPr>
            </w:pPr>
            <w:r>
              <w:rPr>
                <w:rFonts w:ascii="Calibri"/>
                <w:b/>
              </w:rPr>
              <w:t>Fibromyalgia</w:t>
            </w:r>
          </w:p>
        </w:tc>
        <w:tc>
          <w:tcPr>
            <w:tcW w:w="1486" w:type="dxa"/>
          </w:tcPr>
          <w:p w:rsidR="00577741" w:rsidRDefault="00577741">
            <w:pPr>
              <w:pStyle w:val="TableParagraph"/>
              <w:rPr>
                <w:b/>
              </w:rPr>
            </w:pPr>
          </w:p>
          <w:p w:rsidR="00577741" w:rsidRDefault="00577741">
            <w:pPr>
              <w:pStyle w:val="TableParagraph"/>
              <w:rPr>
                <w:b/>
              </w:rPr>
            </w:pPr>
          </w:p>
          <w:p w:rsidR="00577741" w:rsidRDefault="00362DB3">
            <w:pPr>
              <w:pStyle w:val="TableParagraph"/>
              <w:spacing w:before="141"/>
              <w:ind w:left="422" w:right="232" w:hanging="176"/>
              <w:rPr>
                <w:rFonts w:ascii="Calibri"/>
                <w:b/>
              </w:rPr>
            </w:pPr>
            <w:r>
              <w:rPr>
                <w:rFonts w:ascii="Calibri"/>
                <w:b/>
              </w:rPr>
              <w:t>GI Motility Agents</w:t>
            </w:r>
          </w:p>
        </w:tc>
        <w:tc>
          <w:tcPr>
            <w:tcW w:w="1574" w:type="dxa"/>
          </w:tcPr>
          <w:p w:rsidR="00577741" w:rsidRDefault="00577741">
            <w:pPr>
              <w:pStyle w:val="TableParagraph"/>
              <w:rPr>
                <w:b/>
              </w:rPr>
            </w:pPr>
          </w:p>
          <w:p w:rsidR="00577741" w:rsidRDefault="00577741">
            <w:pPr>
              <w:pStyle w:val="TableParagraph"/>
              <w:rPr>
                <w:b/>
              </w:rPr>
            </w:pPr>
          </w:p>
          <w:p w:rsidR="00577741" w:rsidRDefault="00362DB3">
            <w:pPr>
              <w:pStyle w:val="TableParagraph"/>
              <w:spacing w:before="141"/>
              <w:ind w:left="355" w:right="223" w:hanging="113"/>
              <w:rPr>
                <w:rFonts w:ascii="Calibri"/>
                <w:b/>
              </w:rPr>
            </w:pPr>
            <w:r>
              <w:rPr>
                <w:rFonts w:ascii="Calibri"/>
                <w:b/>
              </w:rPr>
              <w:t>Long-Acting Narcotics</w:t>
            </w:r>
          </w:p>
        </w:tc>
        <w:tc>
          <w:tcPr>
            <w:tcW w:w="1839" w:type="dxa"/>
          </w:tcPr>
          <w:p w:rsidR="00577741" w:rsidRDefault="00577741">
            <w:pPr>
              <w:pStyle w:val="TableParagraph"/>
              <w:rPr>
                <w:b/>
              </w:rPr>
            </w:pPr>
          </w:p>
          <w:p w:rsidR="00577741" w:rsidRDefault="00577741">
            <w:pPr>
              <w:pStyle w:val="TableParagraph"/>
              <w:rPr>
                <w:b/>
              </w:rPr>
            </w:pPr>
          </w:p>
          <w:p w:rsidR="00577741" w:rsidRDefault="00362DB3">
            <w:pPr>
              <w:pStyle w:val="TableParagraph"/>
              <w:spacing w:before="141"/>
              <w:ind w:left="598" w:right="104" w:hanging="478"/>
              <w:rPr>
                <w:rFonts w:ascii="Calibri"/>
                <w:b/>
              </w:rPr>
            </w:pPr>
            <w:r>
              <w:rPr>
                <w:rFonts w:ascii="Calibri"/>
                <w:b/>
              </w:rPr>
              <w:t>Neuropathic Pain Agents</w:t>
            </w:r>
          </w:p>
        </w:tc>
        <w:tc>
          <w:tcPr>
            <w:tcW w:w="1505" w:type="dxa"/>
          </w:tcPr>
          <w:p w:rsidR="00577741" w:rsidRDefault="00362DB3">
            <w:pPr>
              <w:pStyle w:val="TableParagraph"/>
              <w:spacing w:before="109"/>
              <w:ind w:left="273" w:right="273" w:firstLine="7"/>
              <w:jc w:val="both"/>
              <w:rPr>
                <w:rFonts w:ascii="Calibri"/>
                <w:b/>
              </w:rPr>
            </w:pPr>
            <w:r>
              <w:rPr>
                <w:rFonts w:ascii="Calibri"/>
                <w:b/>
              </w:rPr>
              <w:t>Non-Ergot Dopamine Receptor Agonists</w:t>
            </w:r>
          </w:p>
        </w:tc>
        <w:tc>
          <w:tcPr>
            <w:tcW w:w="1383" w:type="dxa"/>
          </w:tcPr>
          <w:p w:rsidR="00577741" w:rsidRDefault="00577741">
            <w:pPr>
              <w:pStyle w:val="TableParagraph"/>
              <w:rPr>
                <w:b/>
              </w:rPr>
            </w:pPr>
          </w:p>
          <w:p w:rsidR="00577741" w:rsidRDefault="00577741">
            <w:pPr>
              <w:pStyle w:val="TableParagraph"/>
              <w:rPr>
                <w:b/>
              </w:rPr>
            </w:pPr>
          </w:p>
          <w:p w:rsidR="00577741" w:rsidRDefault="00362DB3">
            <w:pPr>
              <w:pStyle w:val="TableParagraph"/>
              <w:spacing w:before="141"/>
              <w:ind w:left="395"/>
              <w:rPr>
                <w:rFonts w:ascii="Calibri"/>
                <w:b/>
              </w:rPr>
            </w:pPr>
            <w:r>
              <w:rPr>
                <w:rFonts w:ascii="Calibri"/>
                <w:b/>
              </w:rPr>
              <w:t>NSAID</w:t>
            </w:r>
          </w:p>
          <w:p w:rsidR="00577741" w:rsidRDefault="00362DB3">
            <w:pPr>
              <w:pStyle w:val="TableParagraph"/>
              <w:ind w:left="369"/>
              <w:rPr>
                <w:rFonts w:ascii="Calibri"/>
                <w:b/>
              </w:rPr>
            </w:pPr>
            <w:r>
              <w:rPr>
                <w:rFonts w:ascii="Calibri"/>
                <w:b/>
              </w:rPr>
              <w:t>Agents</w:t>
            </w:r>
          </w:p>
        </w:tc>
        <w:tc>
          <w:tcPr>
            <w:tcW w:w="1385" w:type="dxa"/>
          </w:tcPr>
          <w:p w:rsidR="00577741" w:rsidRDefault="00577741">
            <w:pPr>
              <w:pStyle w:val="TableParagraph"/>
              <w:spacing w:before="10"/>
              <w:rPr>
                <w:b/>
                <w:sz w:val="32"/>
              </w:rPr>
            </w:pPr>
          </w:p>
          <w:p w:rsidR="00577741" w:rsidRDefault="00362DB3">
            <w:pPr>
              <w:pStyle w:val="TableParagraph"/>
              <w:ind w:left="115" w:right="112" w:hanging="1"/>
              <w:jc w:val="center"/>
              <w:rPr>
                <w:rFonts w:ascii="Calibri"/>
                <w:b/>
              </w:rPr>
            </w:pPr>
            <w:r>
              <w:rPr>
                <w:rFonts w:ascii="Calibri"/>
                <w:b/>
              </w:rPr>
              <w:t>Opiate Dependence Agents</w:t>
            </w:r>
          </w:p>
        </w:tc>
      </w:tr>
      <w:tr w:rsidR="00577741">
        <w:trPr>
          <w:trHeight w:hRule="exact" w:val="312"/>
        </w:trPr>
        <w:tc>
          <w:tcPr>
            <w:tcW w:w="2643" w:type="dxa"/>
          </w:tcPr>
          <w:p w:rsidR="00577741" w:rsidRDefault="00362DB3">
            <w:pPr>
              <w:pStyle w:val="TableParagraph"/>
              <w:spacing w:before="30"/>
              <w:ind w:left="103"/>
              <w:rPr>
                <w:rFonts w:ascii="Calibri"/>
                <w:b/>
              </w:rPr>
            </w:pPr>
            <w:r>
              <w:rPr>
                <w:rFonts w:ascii="Calibri"/>
                <w:b/>
              </w:rPr>
              <w:t>Conrad Balcer, D.O.</w:t>
            </w:r>
          </w:p>
        </w:tc>
        <w:tc>
          <w:tcPr>
            <w:tcW w:w="1466" w:type="dxa"/>
          </w:tcPr>
          <w:p w:rsidR="00577741" w:rsidRDefault="00362DB3">
            <w:pPr>
              <w:pStyle w:val="TableParagraph"/>
              <w:spacing w:before="13"/>
              <w:jc w:val="center"/>
              <w:rPr>
                <w:rFonts w:ascii="Calibri"/>
              </w:rPr>
            </w:pPr>
            <w:r>
              <w:rPr>
                <w:rFonts w:ascii="Calibri"/>
              </w:rPr>
              <w:t>Y</w:t>
            </w:r>
          </w:p>
        </w:tc>
        <w:tc>
          <w:tcPr>
            <w:tcW w:w="1486" w:type="dxa"/>
          </w:tcPr>
          <w:p w:rsidR="00577741" w:rsidRDefault="00362DB3">
            <w:pPr>
              <w:pStyle w:val="TableParagraph"/>
              <w:spacing w:before="13"/>
              <w:jc w:val="center"/>
              <w:rPr>
                <w:rFonts w:ascii="Calibri"/>
              </w:rPr>
            </w:pPr>
            <w:r>
              <w:rPr>
                <w:rFonts w:ascii="Calibri"/>
              </w:rPr>
              <w:t>Y</w:t>
            </w:r>
          </w:p>
        </w:tc>
        <w:tc>
          <w:tcPr>
            <w:tcW w:w="1574" w:type="dxa"/>
          </w:tcPr>
          <w:p w:rsidR="00577741" w:rsidRDefault="00362DB3">
            <w:pPr>
              <w:pStyle w:val="TableParagraph"/>
              <w:spacing w:before="13"/>
              <w:ind w:right="728"/>
              <w:jc w:val="right"/>
              <w:rPr>
                <w:rFonts w:ascii="Calibri"/>
              </w:rPr>
            </w:pPr>
            <w:r>
              <w:rPr>
                <w:rFonts w:ascii="Calibri"/>
              </w:rPr>
              <w:t>Y</w:t>
            </w:r>
          </w:p>
        </w:tc>
        <w:tc>
          <w:tcPr>
            <w:tcW w:w="1839" w:type="dxa"/>
          </w:tcPr>
          <w:p w:rsidR="00577741" w:rsidRDefault="00362DB3">
            <w:pPr>
              <w:pStyle w:val="TableParagraph"/>
              <w:spacing w:before="13"/>
              <w:jc w:val="center"/>
              <w:rPr>
                <w:rFonts w:ascii="Calibri"/>
              </w:rPr>
            </w:pPr>
            <w:r>
              <w:rPr>
                <w:rFonts w:ascii="Calibri"/>
              </w:rPr>
              <w:t>Y</w:t>
            </w:r>
          </w:p>
        </w:tc>
        <w:tc>
          <w:tcPr>
            <w:tcW w:w="1505" w:type="dxa"/>
          </w:tcPr>
          <w:p w:rsidR="00577741" w:rsidRDefault="00362DB3">
            <w:pPr>
              <w:pStyle w:val="TableParagraph"/>
              <w:spacing w:before="13"/>
              <w:ind w:right="692"/>
              <w:jc w:val="right"/>
              <w:rPr>
                <w:rFonts w:ascii="Calibri"/>
              </w:rPr>
            </w:pPr>
            <w:r>
              <w:rPr>
                <w:rFonts w:ascii="Calibri"/>
              </w:rPr>
              <w:t>Y</w:t>
            </w:r>
          </w:p>
        </w:tc>
        <w:tc>
          <w:tcPr>
            <w:tcW w:w="1383" w:type="dxa"/>
          </w:tcPr>
          <w:p w:rsidR="00577741" w:rsidRDefault="00362DB3">
            <w:pPr>
              <w:pStyle w:val="TableParagraph"/>
              <w:spacing w:before="13"/>
              <w:ind w:right="632"/>
              <w:jc w:val="right"/>
              <w:rPr>
                <w:rFonts w:ascii="Calibri"/>
              </w:rPr>
            </w:pPr>
            <w:r>
              <w:rPr>
                <w:rFonts w:ascii="Calibri"/>
              </w:rPr>
              <w:t>Y</w:t>
            </w:r>
          </w:p>
        </w:tc>
        <w:tc>
          <w:tcPr>
            <w:tcW w:w="1385" w:type="dxa"/>
          </w:tcPr>
          <w:p w:rsidR="00577741" w:rsidRDefault="00362DB3">
            <w:pPr>
              <w:pStyle w:val="TableParagraph"/>
              <w:spacing w:before="13"/>
              <w:jc w:val="center"/>
              <w:rPr>
                <w:rFonts w:ascii="Calibri"/>
              </w:rPr>
            </w:pPr>
            <w:r>
              <w:rPr>
                <w:rFonts w:ascii="Calibri"/>
              </w:rPr>
              <w:t>Y</w:t>
            </w:r>
          </w:p>
        </w:tc>
      </w:tr>
      <w:tr w:rsidR="00577741">
        <w:trPr>
          <w:trHeight w:hRule="exact" w:val="360"/>
        </w:trPr>
        <w:tc>
          <w:tcPr>
            <w:tcW w:w="2643" w:type="dxa"/>
          </w:tcPr>
          <w:p w:rsidR="00577741" w:rsidRDefault="00362DB3">
            <w:pPr>
              <w:pStyle w:val="TableParagraph"/>
              <w:spacing w:before="78"/>
              <w:ind w:left="103"/>
              <w:rPr>
                <w:rFonts w:ascii="Calibri"/>
                <w:b/>
              </w:rPr>
            </w:pPr>
            <w:r>
              <w:rPr>
                <w:rFonts w:ascii="Calibri"/>
                <w:b/>
              </w:rPr>
              <w:t>Pat Bryant, Pharm D</w:t>
            </w:r>
          </w:p>
        </w:tc>
        <w:tc>
          <w:tcPr>
            <w:tcW w:w="1466" w:type="dxa"/>
            <w:shd w:val="clear" w:color="auto" w:fill="5A5A5A"/>
          </w:tcPr>
          <w:p w:rsidR="00577741" w:rsidRDefault="00362DB3">
            <w:pPr>
              <w:pStyle w:val="TableParagraph"/>
              <w:spacing w:before="37"/>
              <w:ind w:left="599" w:right="598"/>
              <w:jc w:val="center"/>
              <w:rPr>
                <w:rFonts w:ascii="Calibri"/>
              </w:rPr>
            </w:pPr>
            <w:r>
              <w:rPr>
                <w:rFonts w:ascii="Calibri"/>
              </w:rPr>
              <w:t>Y2</w:t>
            </w:r>
          </w:p>
        </w:tc>
        <w:tc>
          <w:tcPr>
            <w:tcW w:w="1486" w:type="dxa"/>
          </w:tcPr>
          <w:p w:rsidR="00577741" w:rsidRDefault="00362DB3">
            <w:pPr>
              <w:pStyle w:val="TableParagraph"/>
              <w:spacing w:before="37"/>
              <w:jc w:val="center"/>
              <w:rPr>
                <w:rFonts w:ascii="Calibri"/>
              </w:rPr>
            </w:pPr>
            <w:r>
              <w:rPr>
                <w:rFonts w:ascii="Calibri"/>
              </w:rPr>
              <w:t>Y</w:t>
            </w:r>
          </w:p>
        </w:tc>
        <w:tc>
          <w:tcPr>
            <w:tcW w:w="1574" w:type="dxa"/>
          </w:tcPr>
          <w:p w:rsidR="00577741" w:rsidRDefault="00362DB3">
            <w:pPr>
              <w:pStyle w:val="TableParagraph"/>
              <w:spacing w:before="37"/>
              <w:ind w:right="632"/>
              <w:jc w:val="right"/>
              <w:rPr>
                <w:rFonts w:ascii="Calibri"/>
              </w:rPr>
            </w:pPr>
            <w:r>
              <w:rPr>
                <w:rFonts w:ascii="Calibri"/>
              </w:rPr>
              <w:t>YM</w:t>
            </w:r>
          </w:p>
        </w:tc>
        <w:tc>
          <w:tcPr>
            <w:tcW w:w="1839" w:type="dxa"/>
          </w:tcPr>
          <w:p w:rsidR="00577741" w:rsidRDefault="00362DB3">
            <w:pPr>
              <w:pStyle w:val="TableParagraph"/>
              <w:spacing w:before="37"/>
              <w:ind w:left="746" w:right="746"/>
              <w:jc w:val="center"/>
              <w:rPr>
                <w:rFonts w:ascii="Calibri"/>
              </w:rPr>
            </w:pPr>
            <w:r>
              <w:rPr>
                <w:rFonts w:ascii="Calibri"/>
              </w:rPr>
              <w:t>Y2</w:t>
            </w:r>
          </w:p>
        </w:tc>
        <w:tc>
          <w:tcPr>
            <w:tcW w:w="1505" w:type="dxa"/>
          </w:tcPr>
          <w:p w:rsidR="00577741" w:rsidRDefault="00362DB3">
            <w:pPr>
              <w:pStyle w:val="TableParagraph"/>
              <w:spacing w:before="37"/>
              <w:ind w:right="692"/>
              <w:jc w:val="right"/>
              <w:rPr>
                <w:rFonts w:ascii="Calibri"/>
              </w:rPr>
            </w:pPr>
            <w:r>
              <w:rPr>
                <w:rFonts w:ascii="Calibri"/>
              </w:rPr>
              <w:t>Y</w:t>
            </w:r>
          </w:p>
        </w:tc>
        <w:tc>
          <w:tcPr>
            <w:tcW w:w="1383" w:type="dxa"/>
          </w:tcPr>
          <w:p w:rsidR="00577741" w:rsidRDefault="00362DB3">
            <w:pPr>
              <w:pStyle w:val="TableParagraph"/>
              <w:spacing w:before="37"/>
              <w:ind w:right="574"/>
              <w:jc w:val="right"/>
              <w:rPr>
                <w:rFonts w:ascii="Calibri"/>
              </w:rPr>
            </w:pPr>
            <w:r>
              <w:rPr>
                <w:rFonts w:ascii="Calibri"/>
              </w:rPr>
              <w:t>Y2</w:t>
            </w:r>
          </w:p>
        </w:tc>
        <w:tc>
          <w:tcPr>
            <w:tcW w:w="1385" w:type="dxa"/>
          </w:tcPr>
          <w:p w:rsidR="00577741" w:rsidRDefault="00362DB3">
            <w:pPr>
              <w:pStyle w:val="TableParagraph"/>
              <w:spacing w:before="37"/>
              <w:ind w:left="558" w:right="557"/>
              <w:jc w:val="center"/>
              <w:rPr>
                <w:rFonts w:ascii="Calibri"/>
              </w:rPr>
            </w:pPr>
            <w:r>
              <w:rPr>
                <w:rFonts w:ascii="Calibri"/>
              </w:rPr>
              <w:t>Y2</w:t>
            </w:r>
          </w:p>
        </w:tc>
      </w:tr>
      <w:tr w:rsidR="00577741">
        <w:trPr>
          <w:trHeight w:hRule="exact" w:val="278"/>
        </w:trPr>
        <w:tc>
          <w:tcPr>
            <w:tcW w:w="2643" w:type="dxa"/>
          </w:tcPr>
          <w:p w:rsidR="00577741" w:rsidRDefault="00362DB3">
            <w:pPr>
              <w:pStyle w:val="TableParagraph"/>
              <w:spacing w:line="265" w:lineRule="exact"/>
              <w:ind w:left="153"/>
              <w:rPr>
                <w:rFonts w:ascii="Calibri"/>
                <w:b/>
              </w:rPr>
            </w:pPr>
            <w:r>
              <w:rPr>
                <w:rFonts w:ascii="Calibri"/>
                <w:b/>
              </w:rPr>
              <w:t>Laura Kingsley, Pharm D</w:t>
            </w:r>
          </w:p>
        </w:tc>
        <w:tc>
          <w:tcPr>
            <w:tcW w:w="1466" w:type="dxa"/>
          </w:tcPr>
          <w:p w:rsidR="00577741" w:rsidRDefault="00362DB3">
            <w:pPr>
              <w:pStyle w:val="TableParagraph"/>
              <w:spacing w:line="265" w:lineRule="exact"/>
              <w:jc w:val="center"/>
              <w:rPr>
                <w:rFonts w:ascii="Calibri"/>
              </w:rPr>
            </w:pPr>
            <w:r>
              <w:rPr>
                <w:rFonts w:ascii="Calibri"/>
              </w:rPr>
              <w:t>Y</w:t>
            </w:r>
          </w:p>
        </w:tc>
        <w:tc>
          <w:tcPr>
            <w:tcW w:w="1486" w:type="dxa"/>
          </w:tcPr>
          <w:p w:rsidR="00577741" w:rsidRDefault="00362DB3">
            <w:pPr>
              <w:pStyle w:val="TableParagraph"/>
              <w:spacing w:line="265" w:lineRule="exact"/>
              <w:jc w:val="center"/>
              <w:rPr>
                <w:rFonts w:ascii="Calibri"/>
              </w:rPr>
            </w:pPr>
            <w:r>
              <w:rPr>
                <w:rFonts w:ascii="Calibri"/>
              </w:rPr>
              <w:t>Y</w:t>
            </w:r>
          </w:p>
        </w:tc>
        <w:tc>
          <w:tcPr>
            <w:tcW w:w="1574" w:type="dxa"/>
          </w:tcPr>
          <w:p w:rsidR="00577741" w:rsidRDefault="00362DB3">
            <w:pPr>
              <w:pStyle w:val="TableParagraph"/>
              <w:spacing w:line="265" w:lineRule="exact"/>
              <w:ind w:right="728"/>
              <w:jc w:val="right"/>
              <w:rPr>
                <w:rFonts w:ascii="Calibri"/>
              </w:rPr>
            </w:pPr>
            <w:r>
              <w:rPr>
                <w:rFonts w:ascii="Calibri"/>
              </w:rPr>
              <w:t>Y</w:t>
            </w:r>
          </w:p>
        </w:tc>
        <w:tc>
          <w:tcPr>
            <w:tcW w:w="1839" w:type="dxa"/>
          </w:tcPr>
          <w:p w:rsidR="00577741" w:rsidRDefault="00362DB3">
            <w:pPr>
              <w:pStyle w:val="TableParagraph"/>
              <w:spacing w:line="265" w:lineRule="exact"/>
              <w:jc w:val="center"/>
              <w:rPr>
                <w:rFonts w:ascii="Calibri"/>
              </w:rPr>
            </w:pPr>
            <w:r>
              <w:rPr>
                <w:rFonts w:ascii="Calibri"/>
              </w:rPr>
              <w:t>Y</w:t>
            </w:r>
          </w:p>
        </w:tc>
        <w:tc>
          <w:tcPr>
            <w:tcW w:w="1505" w:type="dxa"/>
          </w:tcPr>
          <w:p w:rsidR="00577741" w:rsidRDefault="00362DB3">
            <w:pPr>
              <w:pStyle w:val="TableParagraph"/>
              <w:spacing w:line="265" w:lineRule="exact"/>
              <w:ind w:right="692"/>
              <w:jc w:val="right"/>
              <w:rPr>
                <w:rFonts w:ascii="Calibri"/>
              </w:rPr>
            </w:pPr>
            <w:r>
              <w:rPr>
                <w:rFonts w:ascii="Calibri"/>
              </w:rPr>
              <w:t>Y</w:t>
            </w:r>
          </w:p>
        </w:tc>
        <w:tc>
          <w:tcPr>
            <w:tcW w:w="1383" w:type="dxa"/>
          </w:tcPr>
          <w:p w:rsidR="00577741" w:rsidRDefault="00362DB3">
            <w:pPr>
              <w:pStyle w:val="TableParagraph"/>
              <w:spacing w:line="265" w:lineRule="exact"/>
              <w:ind w:right="632"/>
              <w:jc w:val="right"/>
              <w:rPr>
                <w:rFonts w:ascii="Calibri"/>
              </w:rPr>
            </w:pPr>
            <w:r>
              <w:rPr>
                <w:rFonts w:ascii="Calibri"/>
              </w:rPr>
              <w:t>Y</w:t>
            </w:r>
          </w:p>
        </w:tc>
        <w:tc>
          <w:tcPr>
            <w:tcW w:w="1385" w:type="dxa"/>
          </w:tcPr>
          <w:p w:rsidR="00577741" w:rsidRDefault="00362DB3">
            <w:pPr>
              <w:pStyle w:val="TableParagraph"/>
              <w:spacing w:line="265" w:lineRule="exact"/>
              <w:jc w:val="center"/>
              <w:rPr>
                <w:rFonts w:ascii="Calibri"/>
              </w:rPr>
            </w:pPr>
            <w:r>
              <w:rPr>
                <w:rFonts w:ascii="Calibri"/>
              </w:rPr>
              <w:t>Y</w:t>
            </w:r>
          </w:p>
        </w:tc>
      </w:tr>
      <w:tr w:rsidR="00577741">
        <w:trPr>
          <w:trHeight w:hRule="exact" w:val="439"/>
        </w:trPr>
        <w:tc>
          <w:tcPr>
            <w:tcW w:w="2643" w:type="dxa"/>
          </w:tcPr>
          <w:p w:rsidR="00577741" w:rsidRDefault="00362DB3">
            <w:pPr>
              <w:pStyle w:val="TableParagraph"/>
              <w:spacing w:before="78"/>
              <w:ind w:left="103"/>
              <w:rPr>
                <w:rFonts w:ascii="Calibri"/>
                <w:b/>
              </w:rPr>
            </w:pPr>
            <w:r>
              <w:rPr>
                <w:rFonts w:ascii="Calibri"/>
                <w:b/>
              </w:rPr>
              <w:t>Laine Young-Walker, M.D.</w:t>
            </w:r>
          </w:p>
        </w:tc>
        <w:tc>
          <w:tcPr>
            <w:tcW w:w="1466" w:type="dxa"/>
          </w:tcPr>
          <w:p w:rsidR="00577741" w:rsidRDefault="00362DB3">
            <w:pPr>
              <w:pStyle w:val="TableParagraph"/>
              <w:spacing w:before="78"/>
              <w:ind w:left="103"/>
              <w:rPr>
                <w:rFonts w:ascii="Calibri"/>
              </w:rPr>
            </w:pPr>
            <w:r>
              <w:rPr>
                <w:rFonts w:ascii="Calibri"/>
              </w:rPr>
              <w:t>YM</w:t>
            </w:r>
          </w:p>
        </w:tc>
        <w:tc>
          <w:tcPr>
            <w:tcW w:w="1486" w:type="dxa"/>
          </w:tcPr>
          <w:p w:rsidR="00577741" w:rsidRDefault="00362DB3">
            <w:pPr>
              <w:pStyle w:val="TableParagraph"/>
              <w:spacing w:before="78"/>
              <w:ind w:left="103"/>
              <w:rPr>
                <w:rFonts w:ascii="Calibri"/>
              </w:rPr>
            </w:pPr>
            <w:r>
              <w:rPr>
                <w:rFonts w:ascii="Calibri"/>
              </w:rPr>
              <w:t>Y2</w:t>
            </w:r>
          </w:p>
        </w:tc>
        <w:tc>
          <w:tcPr>
            <w:tcW w:w="1574" w:type="dxa"/>
          </w:tcPr>
          <w:p w:rsidR="00577741" w:rsidRDefault="00362DB3">
            <w:pPr>
              <w:pStyle w:val="TableParagraph"/>
              <w:spacing w:before="78"/>
              <w:ind w:left="103"/>
              <w:rPr>
                <w:rFonts w:ascii="Calibri"/>
              </w:rPr>
            </w:pPr>
            <w:r>
              <w:rPr>
                <w:rFonts w:ascii="Calibri"/>
              </w:rPr>
              <w:t>Y</w:t>
            </w:r>
          </w:p>
        </w:tc>
        <w:tc>
          <w:tcPr>
            <w:tcW w:w="1839" w:type="dxa"/>
          </w:tcPr>
          <w:p w:rsidR="00577741" w:rsidRDefault="00362DB3">
            <w:pPr>
              <w:pStyle w:val="TableParagraph"/>
              <w:spacing w:before="78"/>
              <w:ind w:left="103"/>
              <w:rPr>
                <w:rFonts w:ascii="Calibri"/>
              </w:rPr>
            </w:pPr>
            <w:r>
              <w:rPr>
                <w:rFonts w:ascii="Calibri"/>
              </w:rPr>
              <w:t>Y</w:t>
            </w:r>
          </w:p>
        </w:tc>
        <w:tc>
          <w:tcPr>
            <w:tcW w:w="1505" w:type="dxa"/>
          </w:tcPr>
          <w:p w:rsidR="00577741" w:rsidRDefault="00362DB3">
            <w:pPr>
              <w:pStyle w:val="TableParagraph"/>
              <w:spacing w:before="78"/>
              <w:ind w:left="103"/>
              <w:rPr>
                <w:rFonts w:ascii="Calibri"/>
              </w:rPr>
            </w:pPr>
            <w:r>
              <w:rPr>
                <w:rFonts w:ascii="Calibri"/>
              </w:rPr>
              <w:t>YM</w:t>
            </w:r>
          </w:p>
        </w:tc>
        <w:tc>
          <w:tcPr>
            <w:tcW w:w="1383" w:type="dxa"/>
          </w:tcPr>
          <w:p w:rsidR="00577741" w:rsidRDefault="00362DB3">
            <w:pPr>
              <w:pStyle w:val="TableParagraph"/>
              <w:spacing w:before="78"/>
              <w:ind w:left="103"/>
              <w:rPr>
                <w:rFonts w:ascii="Calibri"/>
              </w:rPr>
            </w:pPr>
            <w:r>
              <w:rPr>
                <w:rFonts w:ascii="Calibri"/>
              </w:rPr>
              <w:t>YM</w:t>
            </w:r>
          </w:p>
        </w:tc>
        <w:tc>
          <w:tcPr>
            <w:tcW w:w="1385" w:type="dxa"/>
          </w:tcPr>
          <w:p w:rsidR="00577741" w:rsidRDefault="00362DB3">
            <w:pPr>
              <w:pStyle w:val="TableParagraph"/>
              <w:spacing w:before="78"/>
              <w:ind w:left="103"/>
              <w:rPr>
                <w:rFonts w:ascii="Calibri"/>
              </w:rPr>
            </w:pPr>
            <w:r>
              <w:rPr>
                <w:rFonts w:ascii="Calibri"/>
              </w:rPr>
              <w:t>YM</w:t>
            </w:r>
          </w:p>
        </w:tc>
      </w:tr>
      <w:tr w:rsidR="00577741">
        <w:trPr>
          <w:trHeight w:hRule="exact" w:val="343"/>
        </w:trPr>
        <w:tc>
          <w:tcPr>
            <w:tcW w:w="2643" w:type="dxa"/>
          </w:tcPr>
          <w:p w:rsidR="00577741" w:rsidRDefault="00362DB3">
            <w:pPr>
              <w:pStyle w:val="TableParagraph"/>
              <w:spacing w:before="61"/>
              <w:ind w:left="103"/>
              <w:rPr>
                <w:rFonts w:ascii="Calibri"/>
                <w:b/>
              </w:rPr>
            </w:pPr>
            <w:r>
              <w:rPr>
                <w:rFonts w:ascii="Calibri"/>
                <w:b/>
              </w:rPr>
              <w:t>Morgan Sperry, Pharm D</w:t>
            </w:r>
          </w:p>
        </w:tc>
        <w:tc>
          <w:tcPr>
            <w:tcW w:w="1466" w:type="dxa"/>
          </w:tcPr>
          <w:p w:rsidR="00577741" w:rsidRDefault="00362DB3">
            <w:pPr>
              <w:pStyle w:val="TableParagraph"/>
              <w:spacing w:before="30"/>
              <w:jc w:val="center"/>
              <w:rPr>
                <w:rFonts w:ascii="Calibri"/>
              </w:rPr>
            </w:pPr>
            <w:r>
              <w:rPr>
                <w:rFonts w:ascii="Calibri"/>
              </w:rPr>
              <w:t>-</w:t>
            </w:r>
          </w:p>
        </w:tc>
        <w:tc>
          <w:tcPr>
            <w:tcW w:w="1486" w:type="dxa"/>
          </w:tcPr>
          <w:p w:rsidR="00577741" w:rsidRDefault="00362DB3">
            <w:pPr>
              <w:pStyle w:val="TableParagraph"/>
              <w:spacing w:before="30"/>
              <w:ind w:right="1"/>
              <w:jc w:val="center"/>
              <w:rPr>
                <w:rFonts w:ascii="Calibri"/>
              </w:rPr>
            </w:pPr>
            <w:r>
              <w:rPr>
                <w:rFonts w:ascii="Calibri"/>
              </w:rPr>
              <w:t>-</w:t>
            </w:r>
          </w:p>
        </w:tc>
        <w:tc>
          <w:tcPr>
            <w:tcW w:w="1574" w:type="dxa"/>
          </w:tcPr>
          <w:p w:rsidR="00577741" w:rsidRDefault="00362DB3">
            <w:pPr>
              <w:pStyle w:val="TableParagraph"/>
              <w:spacing w:before="30"/>
              <w:ind w:right="746"/>
              <w:jc w:val="right"/>
              <w:rPr>
                <w:rFonts w:ascii="Calibri"/>
              </w:rPr>
            </w:pPr>
            <w:r>
              <w:rPr>
                <w:rFonts w:ascii="Calibri"/>
              </w:rPr>
              <w:t>-</w:t>
            </w:r>
          </w:p>
        </w:tc>
        <w:tc>
          <w:tcPr>
            <w:tcW w:w="1839" w:type="dxa"/>
          </w:tcPr>
          <w:p w:rsidR="00577741" w:rsidRDefault="00362DB3">
            <w:pPr>
              <w:pStyle w:val="TableParagraph"/>
              <w:spacing w:before="30"/>
              <w:jc w:val="center"/>
              <w:rPr>
                <w:rFonts w:ascii="Calibri"/>
              </w:rPr>
            </w:pPr>
            <w:r>
              <w:rPr>
                <w:rFonts w:ascii="Calibri"/>
              </w:rPr>
              <w:t>-</w:t>
            </w:r>
          </w:p>
        </w:tc>
        <w:tc>
          <w:tcPr>
            <w:tcW w:w="1505" w:type="dxa"/>
          </w:tcPr>
          <w:p w:rsidR="00577741" w:rsidRDefault="00362DB3">
            <w:pPr>
              <w:pStyle w:val="TableParagraph"/>
              <w:spacing w:before="30"/>
              <w:ind w:right="712"/>
              <w:jc w:val="right"/>
              <w:rPr>
                <w:rFonts w:ascii="Calibri"/>
              </w:rPr>
            </w:pPr>
            <w:r>
              <w:rPr>
                <w:rFonts w:ascii="Calibri"/>
              </w:rPr>
              <w:t>-</w:t>
            </w:r>
          </w:p>
        </w:tc>
        <w:tc>
          <w:tcPr>
            <w:tcW w:w="1383" w:type="dxa"/>
          </w:tcPr>
          <w:p w:rsidR="00577741" w:rsidRDefault="00362DB3">
            <w:pPr>
              <w:pStyle w:val="TableParagraph"/>
              <w:spacing w:before="30"/>
              <w:ind w:right="650"/>
              <w:jc w:val="right"/>
              <w:rPr>
                <w:rFonts w:ascii="Calibri"/>
              </w:rPr>
            </w:pPr>
            <w:r>
              <w:rPr>
                <w:rFonts w:ascii="Calibri"/>
              </w:rPr>
              <w:t>-</w:t>
            </w:r>
          </w:p>
        </w:tc>
        <w:tc>
          <w:tcPr>
            <w:tcW w:w="1385" w:type="dxa"/>
          </w:tcPr>
          <w:p w:rsidR="00577741" w:rsidRDefault="00362DB3">
            <w:pPr>
              <w:pStyle w:val="TableParagraph"/>
              <w:spacing w:before="30"/>
              <w:jc w:val="center"/>
              <w:rPr>
                <w:rFonts w:ascii="Calibri"/>
              </w:rPr>
            </w:pPr>
            <w:r>
              <w:rPr>
                <w:rFonts w:ascii="Calibri"/>
              </w:rPr>
              <w:t>-</w:t>
            </w:r>
          </w:p>
        </w:tc>
      </w:tr>
      <w:tr w:rsidR="00577741">
        <w:trPr>
          <w:trHeight w:hRule="exact" w:val="548"/>
        </w:trPr>
        <w:tc>
          <w:tcPr>
            <w:tcW w:w="2643" w:type="dxa"/>
          </w:tcPr>
          <w:p w:rsidR="00577741" w:rsidRDefault="00362DB3">
            <w:pPr>
              <w:pStyle w:val="TableParagraph"/>
              <w:ind w:left="103" w:right="199"/>
              <w:rPr>
                <w:rFonts w:ascii="Calibri"/>
                <w:b/>
              </w:rPr>
            </w:pPr>
            <w:r>
              <w:rPr>
                <w:rFonts w:ascii="Calibri"/>
                <w:b/>
              </w:rPr>
              <w:t>Jennifer Kemp-Oestriech, Pharm D</w:t>
            </w:r>
          </w:p>
        </w:tc>
        <w:tc>
          <w:tcPr>
            <w:tcW w:w="1466" w:type="dxa"/>
          </w:tcPr>
          <w:p w:rsidR="00577741" w:rsidRDefault="00362DB3">
            <w:pPr>
              <w:pStyle w:val="TableParagraph"/>
              <w:spacing w:before="131"/>
              <w:jc w:val="center"/>
              <w:rPr>
                <w:rFonts w:ascii="Calibri"/>
              </w:rPr>
            </w:pPr>
            <w:r>
              <w:rPr>
                <w:rFonts w:ascii="Calibri"/>
              </w:rPr>
              <w:t>Y</w:t>
            </w:r>
          </w:p>
        </w:tc>
        <w:tc>
          <w:tcPr>
            <w:tcW w:w="1486" w:type="dxa"/>
          </w:tcPr>
          <w:p w:rsidR="00577741" w:rsidRDefault="00362DB3">
            <w:pPr>
              <w:pStyle w:val="TableParagraph"/>
              <w:spacing w:before="131"/>
              <w:ind w:left="571" w:right="569"/>
              <w:jc w:val="center"/>
              <w:rPr>
                <w:rFonts w:ascii="Calibri"/>
              </w:rPr>
            </w:pPr>
            <w:r>
              <w:rPr>
                <w:rFonts w:ascii="Calibri"/>
              </w:rPr>
              <w:t>YM</w:t>
            </w:r>
          </w:p>
        </w:tc>
        <w:tc>
          <w:tcPr>
            <w:tcW w:w="1574" w:type="dxa"/>
          </w:tcPr>
          <w:p w:rsidR="00577741" w:rsidRDefault="00362DB3">
            <w:pPr>
              <w:pStyle w:val="TableParagraph"/>
              <w:spacing w:before="131"/>
              <w:ind w:right="670"/>
              <w:jc w:val="right"/>
              <w:rPr>
                <w:rFonts w:ascii="Calibri"/>
              </w:rPr>
            </w:pPr>
            <w:r>
              <w:rPr>
                <w:rFonts w:ascii="Calibri"/>
              </w:rPr>
              <w:t>Y2</w:t>
            </w:r>
          </w:p>
        </w:tc>
        <w:tc>
          <w:tcPr>
            <w:tcW w:w="1839" w:type="dxa"/>
          </w:tcPr>
          <w:p w:rsidR="00577741" w:rsidRDefault="00362DB3">
            <w:pPr>
              <w:pStyle w:val="TableParagraph"/>
              <w:spacing w:before="131"/>
              <w:ind w:left="746" w:right="746"/>
              <w:jc w:val="center"/>
              <w:rPr>
                <w:rFonts w:ascii="Calibri"/>
              </w:rPr>
            </w:pPr>
            <w:r>
              <w:rPr>
                <w:rFonts w:ascii="Calibri"/>
              </w:rPr>
              <w:t>YM</w:t>
            </w:r>
          </w:p>
        </w:tc>
        <w:tc>
          <w:tcPr>
            <w:tcW w:w="1505" w:type="dxa"/>
          </w:tcPr>
          <w:p w:rsidR="00577741" w:rsidRDefault="00362DB3">
            <w:pPr>
              <w:pStyle w:val="TableParagraph"/>
              <w:spacing w:before="131"/>
              <w:ind w:right="634"/>
              <w:jc w:val="right"/>
              <w:rPr>
                <w:rFonts w:ascii="Calibri"/>
              </w:rPr>
            </w:pPr>
            <w:r>
              <w:rPr>
                <w:rFonts w:ascii="Calibri"/>
              </w:rPr>
              <w:t>Y2</w:t>
            </w:r>
          </w:p>
        </w:tc>
        <w:tc>
          <w:tcPr>
            <w:tcW w:w="1383" w:type="dxa"/>
          </w:tcPr>
          <w:p w:rsidR="00577741" w:rsidRDefault="00362DB3">
            <w:pPr>
              <w:pStyle w:val="TableParagraph"/>
              <w:spacing w:before="131"/>
              <w:ind w:right="632"/>
              <w:jc w:val="right"/>
              <w:rPr>
                <w:rFonts w:ascii="Calibri"/>
              </w:rPr>
            </w:pPr>
            <w:r>
              <w:rPr>
                <w:rFonts w:ascii="Calibri"/>
              </w:rPr>
              <w:t>Y</w:t>
            </w:r>
          </w:p>
        </w:tc>
        <w:tc>
          <w:tcPr>
            <w:tcW w:w="1385" w:type="dxa"/>
          </w:tcPr>
          <w:p w:rsidR="00577741" w:rsidRDefault="00362DB3">
            <w:pPr>
              <w:pStyle w:val="TableParagraph"/>
              <w:spacing w:before="131"/>
              <w:jc w:val="center"/>
              <w:rPr>
                <w:rFonts w:ascii="Calibri"/>
              </w:rPr>
            </w:pPr>
            <w:r>
              <w:rPr>
                <w:rFonts w:ascii="Calibri"/>
              </w:rPr>
              <w:t>Y</w:t>
            </w:r>
          </w:p>
        </w:tc>
      </w:tr>
    </w:tbl>
    <w:p w:rsidR="00577741" w:rsidRDefault="00577741">
      <w:pPr>
        <w:jc w:val="center"/>
        <w:rPr>
          <w:rFonts w:ascii="Calibri"/>
        </w:rPr>
        <w:sectPr w:rsidR="00577741">
          <w:pgSz w:w="15840" w:h="12240" w:orient="landscape"/>
          <w:pgMar w:top="1000" w:right="960" w:bottom="1060" w:left="960" w:header="0" w:footer="86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5"/>
        <w:gridCol w:w="1454"/>
        <w:gridCol w:w="1513"/>
        <w:gridCol w:w="1558"/>
        <w:gridCol w:w="1810"/>
        <w:gridCol w:w="1529"/>
        <w:gridCol w:w="1369"/>
      </w:tblGrid>
      <w:tr w:rsidR="00577741">
        <w:trPr>
          <w:trHeight w:hRule="exact" w:val="1889"/>
        </w:trPr>
        <w:tc>
          <w:tcPr>
            <w:tcW w:w="2655" w:type="dxa"/>
            <w:tcBorders>
              <w:bottom w:val="single" w:sz="6" w:space="0" w:color="000000"/>
            </w:tcBorders>
          </w:tcPr>
          <w:p w:rsidR="00577741" w:rsidRDefault="00577741"/>
        </w:tc>
        <w:tc>
          <w:tcPr>
            <w:tcW w:w="1454" w:type="dxa"/>
          </w:tcPr>
          <w:p w:rsidR="00577741" w:rsidRDefault="00577741">
            <w:pPr>
              <w:pStyle w:val="TableParagraph"/>
              <w:rPr>
                <w:b/>
              </w:rPr>
            </w:pPr>
          </w:p>
          <w:p w:rsidR="00577741" w:rsidRDefault="00577741">
            <w:pPr>
              <w:pStyle w:val="TableParagraph"/>
              <w:rPr>
                <w:b/>
              </w:rPr>
            </w:pPr>
          </w:p>
          <w:p w:rsidR="00577741" w:rsidRDefault="00577741">
            <w:pPr>
              <w:pStyle w:val="TableParagraph"/>
              <w:spacing w:before="10"/>
              <w:rPr>
                <w:b/>
                <w:sz w:val="25"/>
              </w:rPr>
            </w:pPr>
          </w:p>
          <w:p w:rsidR="00577741" w:rsidRDefault="00362DB3">
            <w:pPr>
              <w:pStyle w:val="TableParagraph"/>
              <w:ind w:left="218" w:right="218" w:hanging="1"/>
              <w:jc w:val="center"/>
              <w:rPr>
                <w:rFonts w:ascii="Calibri"/>
                <w:b/>
              </w:rPr>
            </w:pPr>
            <w:r>
              <w:rPr>
                <w:rFonts w:ascii="Calibri"/>
                <w:b/>
              </w:rPr>
              <w:t>Opiate Emergency Reversal Agents</w:t>
            </w:r>
          </w:p>
        </w:tc>
        <w:tc>
          <w:tcPr>
            <w:tcW w:w="1513"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spacing w:before="3"/>
              <w:rPr>
                <w:b/>
                <w:sz w:val="27"/>
              </w:rPr>
            </w:pPr>
          </w:p>
          <w:p w:rsidR="00577741" w:rsidRDefault="00362DB3">
            <w:pPr>
              <w:pStyle w:val="TableParagraph"/>
              <w:ind w:left="341" w:right="337" w:firstLine="16"/>
              <w:jc w:val="both"/>
              <w:rPr>
                <w:rFonts w:ascii="Calibri"/>
                <w:b/>
              </w:rPr>
            </w:pPr>
            <w:r>
              <w:rPr>
                <w:rFonts w:ascii="Calibri"/>
                <w:b/>
              </w:rPr>
              <w:t>Sedative Hypnotic Agents</w:t>
            </w:r>
          </w:p>
        </w:tc>
        <w:tc>
          <w:tcPr>
            <w:tcW w:w="1558"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spacing w:before="3"/>
              <w:rPr>
                <w:b/>
                <w:sz w:val="27"/>
              </w:rPr>
            </w:pPr>
          </w:p>
          <w:p w:rsidR="00577741" w:rsidRDefault="00362DB3">
            <w:pPr>
              <w:pStyle w:val="TableParagraph"/>
              <w:ind w:left="328" w:right="327" w:firstLine="81"/>
              <w:jc w:val="both"/>
              <w:rPr>
                <w:rFonts w:ascii="Calibri"/>
                <w:b/>
              </w:rPr>
            </w:pPr>
            <w:r>
              <w:rPr>
                <w:rFonts w:ascii="Calibri"/>
                <w:b/>
              </w:rPr>
              <w:t>Skeletal Muscle Relaxants</w:t>
            </w:r>
          </w:p>
        </w:tc>
        <w:tc>
          <w:tcPr>
            <w:tcW w:w="1810"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spacing w:before="3"/>
              <w:rPr>
                <w:b/>
                <w:sz w:val="27"/>
              </w:rPr>
            </w:pPr>
          </w:p>
          <w:p w:rsidR="00577741" w:rsidRDefault="00362DB3">
            <w:pPr>
              <w:pStyle w:val="TableParagraph"/>
              <w:ind w:left="143" w:right="143"/>
              <w:jc w:val="center"/>
              <w:rPr>
                <w:rFonts w:ascii="Calibri"/>
                <w:b/>
              </w:rPr>
            </w:pPr>
            <w:r>
              <w:rPr>
                <w:rFonts w:ascii="Calibri"/>
                <w:b/>
              </w:rPr>
              <w:t>Serotonin Receptor Agents (Triptans)</w:t>
            </w:r>
          </w:p>
        </w:tc>
        <w:tc>
          <w:tcPr>
            <w:tcW w:w="1529"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spacing w:before="7"/>
              <w:rPr>
                <w:b/>
                <w:sz w:val="28"/>
              </w:rPr>
            </w:pPr>
          </w:p>
          <w:p w:rsidR="00577741" w:rsidRDefault="00362DB3">
            <w:pPr>
              <w:pStyle w:val="TableParagraph"/>
              <w:ind w:left="443" w:right="90" w:hanging="339"/>
              <w:rPr>
                <w:rFonts w:ascii="Calibri"/>
                <w:b/>
              </w:rPr>
            </w:pPr>
            <w:r>
              <w:rPr>
                <w:rFonts w:ascii="Calibri"/>
                <w:b/>
              </w:rPr>
              <w:t>Tramadol-Like Agents</w:t>
            </w:r>
          </w:p>
        </w:tc>
        <w:tc>
          <w:tcPr>
            <w:tcW w:w="1369" w:type="dxa"/>
          </w:tcPr>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rPr>
                <w:b/>
              </w:rPr>
            </w:pPr>
          </w:p>
          <w:p w:rsidR="00577741" w:rsidRDefault="00577741">
            <w:pPr>
              <w:pStyle w:val="TableParagraph"/>
              <w:rPr>
                <w:b/>
                <w:sz w:val="30"/>
              </w:rPr>
            </w:pPr>
          </w:p>
          <w:p w:rsidR="00577741" w:rsidRDefault="00362DB3">
            <w:pPr>
              <w:pStyle w:val="TableParagraph"/>
              <w:ind w:left="290" w:right="288"/>
              <w:jc w:val="center"/>
              <w:rPr>
                <w:rFonts w:ascii="Calibri"/>
                <w:b/>
              </w:rPr>
            </w:pPr>
            <w:r>
              <w:rPr>
                <w:rFonts w:ascii="Calibri"/>
                <w:b/>
              </w:rPr>
              <w:t>Adjourn</w:t>
            </w:r>
          </w:p>
        </w:tc>
      </w:tr>
      <w:tr w:rsidR="00577741">
        <w:trPr>
          <w:trHeight w:hRule="exact" w:val="547"/>
        </w:trPr>
        <w:tc>
          <w:tcPr>
            <w:tcW w:w="2655" w:type="dxa"/>
            <w:tcBorders>
              <w:top w:val="single" w:sz="6" w:space="0" w:color="000000"/>
            </w:tcBorders>
          </w:tcPr>
          <w:p w:rsidR="00577741" w:rsidRDefault="00362DB3">
            <w:pPr>
              <w:pStyle w:val="TableParagraph"/>
              <w:spacing w:before="131"/>
              <w:ind w:left="103"/>
              <w:rPr>
                <w:rFonts w:ascii="Calibri"/>
                <w:b/>
              </w:rPr>
            </w:pPr>
            <w:r>
              <w:rPr>
                <w:rFonts w:ascii="Calibri"/>
                <w:b/>
              </w:rPr>
              <w:t>Conrad Balcer, D.O.</w:t>
            </w:r>
          </w:p>
        </w:tc>
        <w:tc>
          <w:tcPr>
            <w:tcW w:w="1454" w:type="dxa"/>
          </w:tcPr>
          <w:p w:rsidR="00577741" w:rsidRDefault="00362DB3">
            <w:pPr>
              <w:pStyle w:val="TableParagraph"/>
              <w:spacing w:before="133"/>
              <w:jc w:val="center"/>
              <w:rPr>
                <w:rFonts w:ascii="Calibri"/>
              </w:rPr>
            </w:pPr>
            <w:r>
              <w:rPr>
                <w:rFonts w:ascii="Calibri"/>
              </w:rPr>
              <w:t>Y</w:t>
            </w:r>
          </w:p>
        </w:tc>
        <w:tc>
          <w:tcPr>
            <w:tcW w:w="1513" w:type="dxa"/>
          </w:tcPr>
          <w:p w:rsidR="00577741" w:rsidRDefault="00362DB3">
            <w:pPr>
              <w:pStyle w:val="TableParagraph"/>
              <w:spacing w:before="133"/>
              <w:jc w:val="center"/>
              <w:rPr>
                <w:rFonts w:ascii="Calibri"/>
              </w:rPr>
            </w:pPr>
            <w:r>
              <w:rPr>
                <w:rFonts w:ascii="Calibri"/>
              </w:rPr>
              <w:t>Y</w:t>
            </w:r>
          </w:p>
        </w:tc>
        <w:tc>
          <w:tcPr>
            <w:tcW w:w="1558" w:type="dxa"/>
          </w:tcPr>
          <w:p w:rsidR="00577741" w:rsidRDefault="00362DB3">
            <w:pPr>
              <w:pStyle w:val="TableParagraph"/>
              <w:spacing w:before="133"/>
              <w:jc w:val="center"/>
              <w:rPr>
                <w:rFonts w:ascii="Calibri"/>
              </w:rPr>
            </w:pPr>
            <w:r>
              <w:rPr>
                <w:rFonts w:ascii="Calibri"/>
              </w:rPr>
              <w:t>Y</w:t>
            </w:r>
          </w:p>
        </w:tc>
        <w:tc>
          <w:tcPr>
            <w:tcW w:w="1810" w:type="dxa"/>
          </w:tcPr>
          <w:p w:rsidR="00577741" w:rsidRDefault="00362DB3">
            <w:pPr>
              <w:pStyle w:val="TableParagraph"/>
              <w:spacing w:before="133"/>
              <w:jc w:val="center"/>
              <w:rPr>
                <w:rFonts w:ascii="Calibri"/>
              </w:rPr>
            </w:pPr>
            <w:r>
              <w:rPr>
                <w:rFonts w:ascii="Calibri"/>
              </w:rPr>
              <w:t>Y</w:t>
            </w:r>
          </w:p>
        </w:tc>
        <w:tc>
          <w:tcPr>
            <w:tcW w:w="1529" w:type="dxa"/>
          </w:tcPr>
          <w:p w:rsidR="00577741" w:rsidRDefault="00362DB3">
            <w:pPr>
              <w:pStyle w:val="TableParagraph"/>
              <w:spacing w:before="133"/>
              <w:jc w:val="center"/>
              <w:rPr>
                <w:rFonts w:ascii="Calibri"/>
              </w:rPr>
            </w:pPr>
            <w:r>
              <w:rPr>
                <w:rFonts w:ascii="Calibri"/>
              </w:rPr>
              <w:t>Y</w:t>
            </w:r>
          </w:p>
        </w:tc>
        <w:tc>
          <w:tcPr>
            <w:tcW w:w="1369" w:type="dxa"/>
          </w:tcPr>
          <w:p w:rsidR="00577741" w:rsidRDefault="00577741">
            <w:pPr>
              <w:pStyle w:val="TableParagraph"/>
              <w:spacing w:before="3"/>
              <w:rPr>
                <w:b/>
                <w:sz w:val="23"/>
              </w:rPr>
            </w:pPr>
          </w:p>
          <w:p w:rsidR="00577741" w:rsidRDefault="00362DB3">
            <w:pPr>
              <w:pStyle w:val="TableParagraph"/>
              <w:jc w:val="center"/>
              <w:rPr>
                <w:rFonts w:ascii="Calibri"/>
              </w:rPr>
            </w:pPr>
            <w:r>
              <w:rPr>
                <w:rFonts w:ascii="Calibri"/>
              </w:rPr>
              <w:t>Y</w:t>
            </w:r>
          </w:p>
        </w:tc>
      </w:tr>
      <w:tr w:rsidR="00577741">
        <w:trPr>
          <w:trHeight w:hRule="exact" w:val="548"/>
        </w:trPr>
        <w:tc>
          <w:tcPr>
            <w:tcW w:w="2655" w:type="dxa"/>
          </w:tcPr>
          <w:p w:rsidR="00577741" w:rsidRDefault="00362DB3">
            <w:pPr>
              <w:pStyle w:val="TableParagraph"/>
              <w:spacing w:before="133"/>
              <w:ind w:left="103"/>
              <w:rPr>
                <w:rFonts w:ascii="Calibri"/>
                <w:b/>
              </w:rPr>
            </w:pPr>
            <w:r>
              <w:rPr>
                <w:rFonts w:ascii="Calibri"/>
                <w:b/>
              </w:rPr>
              <w:t>Pat Bryant, Pharm D</w:t>
            </w:r>
          </w:p>
        </w:tc>
        <w:tc>
          <w:tcPr>
            <w:tcW w:w="1454" w:type="dxa"/>
          </w:tcPr>
          <w:p w:rsidR="00577741" w:rsidRDefault="00362DB3">
            <w:pPr>
              <w:pStyle w:val="TableParagraph"/>
              <w:spacing w:before="133"/>
              <w:ind w:left="573"/>
              <w:rPr>
                <w:rFonts w:ascii="Calibri"/>
              </w:rPr>
            </w:pPr>
            <w:r>
              <w:rPr>
                <w:rFonts w:ascii="Calibri"/>
              </w:rPr>
              <w:t>YM</w:t>
            </w:r>
          </w:p>
        </w:tc>
        <w:tc>
          <w:tcPr>
            <w:tcW w:w="1513" w:type="dxa"/>
          </w:tcPr>
          <w:p w:rsidR="00577741" w:rsidRDefault="00362DB3">
            <w:pPr>
              <w:pStyle w:val="TableParagraph"/>
              <w:spacing w:before="133"/>
              <w:ind w:right="600"/>
              <w:jc w:val="right"/>
              <w:rPr>
                <w:rFonts w:ascii="Calibri"/>
              </w:rPr>
            </w:pPr>
            <w:r>
              <w:rPr>
                <w:rFonts w:ascii="Calibri"/>
              </w:rPr>
              <w:t>YM</w:t>
            </w:r>
          </w:p>
        </w:tc>
        <w:tc>
          <w:tcPr>
            <w:tcW w:w="1558" w:type="dxa"/>
          </w:tcPr>
          <w:p w:rsidR="00577741" w:rsidRDefault="00362DB3">
            <w:pPr>
              <w:pStyle w:val="TableParagraph"/>
              <w:spacing w:before="133"/>
              <w:jc w:val="center"/>
              <w:rPr>
                <w:rFonts w:ascii="Calibri"/>
              </w:rPr>
            </w:pPr>
            <w:r>
              <w:rPr>
                <w:rFonts w:ascii="Calibri"/>
              </w:rPr>
              <w:t>Y</w:t>
            </w:r>
          </w:p>
        </w:tc>
        <w:tc>
          <w:tcPr>
            <w:tcW w:w="1810" w:type="dxa"/>
          </w:tcPr>
          <w:p w:rsidR="00577741" w:rsidRDefault="00362DB3">
            <w:pPr>
              <w:pStyle w:val="TableParagraph"/>
              <w:spacing w:before="133"/>
              <w:ind w:left="143" w:right="143"/>
              <w:jc w:val="center"/>
              <w:rPr>
                <w:rFonts w:ascii="Calibri"/>
              </w:rPr>
            </w:pPr>
            <w:r>
              <w:rPr>
                <w:rFonts w:ascii="Calibri"/>
              </w:rPr>
              <w:t>Y2</w:t>
            </w:r>
          </w:p>
        </w:tc>
        <w:tc>
          <w:tcPr>
            <w:tcW w:w="1529" w:type="dxa"/>
          </w:tcPr>
          <w:p w:rsidR="00577741" w:rsidRDefault="00362DB3">
            <w:pPr>
              <w:pStyle w:val="TableParagraph"/>
              <w:spacing w:before="133"/>
              <w:jc w:val="center"/>
              <w:rPr>
                <w:rFonts w:ascii="Calibri"/>
              </w:rPr>
            </w:pPr>
            <w:r>
              <w:rPr>
                <w:rFonts w:ascii="Calibri"/>
              </w:rPr>
              <w:t>Y</w:t>
            </w:r>
          </w:p>
        </w:tc>
        <w:tc>
          <w:tcPr>
            <w:tcW w:w="1369" w:type="dxa"/>
          </w:tcPr>
          <w:p w:rsidR="00577741" w:rsidRDefault="00577741">
            <w:pPr>
              <w:pStyle w:val="TableParagraph"/>
              <w:spacing w:before="1"/>
              <w:rPr>
                <w:b/>
                <w:sz w:val="23"/>
              </w:rPr>
            </w:pPr>
          </w:p>
          <w:p w:rsidR="00577741" w:rsidRDefault="00362DB3">
            <w:pPr>
              <w:pStyle w:val="TableParagraph"/>
              <w:spacing w:before="1"/>
              <w:ind w:left="288" w:right="288"/>
              <w:jc w:val="center"/>
              <w:rPr>
                <w:rFonts w:ascii="Calibri"/>
              </w:rPr>
            </w:pPr>
            <w:r>
              <w:rPr>
                <w:rFonts w:ascii="Calibri"/>
              </w:rPr>
              <w:t>YM</w:t>
            </w:r>
          </w:p>
        </w:tc>
      </w:tr>
      <w:tr w:rsidR="00577741">
        <w:trPr>
          <w:trHeight w:hRule="exact" w:val="547"/>
        </w:trPr>
        <w:tc>
          <w:tcPr>
            <w:tcW w:w="2655" w:type="dxa"/>
          </w:tcPr>
          <w:p w:rsidR="00577741" w:rsidRDefault="00362DB3">
            <w:pPr>
              <w:pStyle w:val="TableParagraph"/>
              <w:spacing w:before="131"/>
              <w:ind w:left="103"/>
              <w:rPr>
                <w:rFonts w:ascii="Calibri"/>
                <w:b/>
              </w:rPr>
            </w:pPr>
            <w:r>
              <w:rPr>
                <w:rFonts w:ascii="Calibri"/>
                <w:b/>
              </w:rPr>
              <w:t>Laura Kingsley, Pharm D</w:t>
            </w:r>
          </w:p>
        </w:tc>
        <w:tc>
          <w:tcPr>
            <w:tcW w:w="1454" w:type="dxa"/>
          </w:tcPr>
          <w:p w:rsidR="00577741" w:rsidRDefault="00362DB3">
            <w:pPr>
              <w:pStyle w:val="TableParagraph"/>
              <w:spacing w:before="131"/>
              <w:jc w:val="center"/>
              <w:rPr>
                <w:rFonts w:ascii="Calibri"/>
              </w:rPr>
            </w:pPr>
            <w:r>
              <w:rPr>
                <w:rFonts w:ascii="Calibri"/>
              </w:rPr>
              <w:t>Y</w:t>
            </w:r>
          </w:p>
        </w:tc>
        <w:tc>
          <w:tcPr>
            <w:tcW w:w="1513" w:type="dxa"/>
          </w:tcPr>
          <w:p w:rsidR="00577741" w:rsidRDefault="00362DB3">
            <w:pPr>
              <w:pStyle w:val="TableParagraph"/>
              <w:spacing w:before="131"/>
              <w:jc w:val="center"/>
              <w:rPr>
                <w:rFonts w:ascii="Calibri"/>
              </w:rPr>
            </w:pPr>
            <w:r>
              <w:rPr>
                <w:rFonts w:ascii="Calibri"/>
              </w:rPr>
              <w:t>Y</w:t>
            </w:r>
          </w:p>
        </w:tc>
        <w:tc>
          <w:tcPr>
            <w:tcW w:w="1558" w:type="dxa"/>
          </w:tcPr>
          <w:p w:rsidR="00577741" w:rsidRDefault="00362DB3">
            <w:pPr>
              <w:pStyle w:val="TableParagraph"/>
              <w:spacing w:before="131"/>
              <w:jc w:val="center"/>
              <w:rPr>
                <w:rFonts w:ascii="Calibri"/>
              </w:rPr>
            </w:pPr>
            <w:r>
              <w:rPr>
                <w:rFonts w:ascii="Calibri"/>
              </w:rPr>
              <w:t>Y</w:t>
            </w:r>
          </w:p>
        </w:tc>
        <w:tc>
          <w:tcPr>
            <w:tcW w:w="1810" w:type="dxa"/>
          </w:tcPr>
          <w:p w:rsidR="00577741" w:rsidRDefault="00362DB3">
            <w:pPr>
              <w:pStyle w:val="TableParagraph"/>
              <w:spacing w:before="131"/>
              <w:jc w:val="center"/>
              <w:rPr>
                <w:rFonts w:ascii="Calibri"/>
              </w:rPr>
            </w:pPr>
            <w:r>
              <w:rPr>
                <w:rFonts w:ascii="Calibri"/>
              </w:rPr>
              <w:t>Y</w:t>
            </w:r>
          </w:p>
        </w:tc>
        <w:tc>
          <w:tcPr>
            <w:tcW w:w="1529" w:type="dxa"/>
          </w:tcPr>
          <w:p w:rsidR="00577741" w:rsidRDefault="00362DB3">
            <w:pPr>
              <w:pStyle w:val="TableParagraph"/>
              <w:spacing w:before="131"/>
              <w:ind w:left="592" w:right="591"/>
              <w:jc w:val="center"/>
              <w:rPr>
                <w:rFonts w:ascii="Calibri"/>
              </w:rPr>
            </w:pPr>
            <w:r>
              <w:rPr>
                <w:rFonts w:ascii="Calibri"/>
              </w:rPr>
              <w:t>Y2</w:t>
            </w:r>
          </w:p>
        </w:tc>
        <w:tc>
          <w:tcPr>
            <w:tcW w:w="1369" w:type="dxa"/>
          </w:tcPr>
          <w:p w:rsidR="00577741" w:rsidRDefault="00577741">
            <w:pPr>
              <w:pStyle w:val="TableParagraph"/>
              <w:spacing w:before="1"/>
              <w:rPr>
                <w:b/>
                <w:sz w:val="23"/>
              </w:rPr>
            </w:pPr>
          </w:p>
          <w:p w:rsidR="00577741" w:rsidRDefault="00362DB3">
            <w:pPr>
              <w:pStyle w:val="TableParagraph"/>
              <w:jc w:val="center"/>
              <w:rPr>
                <w:rFonts w:ascii="Calibri"/>
              </w:rPr>
            </w:pPr>
            <w:r>
              <w:rPr>
                <w:rFonts w:ascii="Calibri"/>
              </w:rPr>
              <w:t>Y</w:t>
            </w:r>
          </w:p>
        </w:tc>
      </w:tr>
      <w:tr w:rsidR="00577741">
        <w:trPr>
          <w:trHeight w:hRule="exact" w:val="612"/>
        </w:trPr>
        <w:tc>
          <w:tcPr>
            <w:tcW w:w="2655" w:type="dxa"/>
          </w:tcPr>
          <w:p w:rsidR="00577741" w:rsidRDefault="00362DB3">
            <w:pPr>
              <w:pStyle w:val="TableParagraph"/>
              <w:spacing w:before="165"/>
              <w:ind w:left="103"/>
              <w:rPr>
                <w:rFonts w:ascii="Calibri"/>
                <w:b/>
              </w:rPr>
            </w:pPr>
            <w:r>
              <w:rPr>
                <w:rFonts w:ascii="Calibri"/>
                <w:b/>
              </w:rPr>
              <w:t>Laine Young-Walker, M.D.</w:t>
            </w:r>
          </w:p>
        </w:tc>
        <w:tc>
          <w:tcPr>
            <w:tcW w:w="1454" w:type="dxa"/>
          </w:tcPr>
          <w:p w:rsidR="00577741" w:rsidRDefault="00362DB3">
            <w:pPr>
              <w:pStyle w:val="TableParagraph"/>
              <w:spacing w:before="165"/>
              <w:ind w:left="611"/>
              <w:rPr>
                <w:rFonts w:ascii="Calibri"/>
              </w:rPr>
            </w:pPr>
            <w:r>
              <w:rPr>
                <w:rFonts w:ascii="Calibri"/>
              </w:rPr>
              <w:t>Y2</w:t>
            </w:r>
          </w:p>
        </w:tc>
        <w:tc>
          <w:tcPr>
            <w:tcW w:w="1513" w:type="dxa"/>
          </w:tcPr>
          <w:p w:rsidR="00577741" w:rsidRDefault="00362DB3">
            <w:pPr>
              <w:pStyle w:val="TableParagraph"/>
              <w:spacing w:before="165"/>
              <w:ind w:right="639"/>
              <w:jc w:val="right"/>
              <w:rPr>
                <w:rFonts w:ascii="Calibri"/>
              </w:rPr>
            </w:pPr>
            <w:r>
              <w:rPr>
                <w:rFonts w:ascii="Calibri"/>
              </w:rPr>
              <w:t>Y2</w:t>
            </w:r>
          </w:p>
        </w:tc>
        <w:tc>
          <w:tcPr>
            <w:tcW w:w="1558" w:type="dxa"/>
          </w:tcPr>
          <w:p w:rsidR="00577741" w:rsidRDefault="00362DB3">
            <w:pPr>
              <w:pStyle w:val="TableParagraph"/>
              <w:spacing w:before="165"/>
              <w:ind w:left="606" w:right="605"/>
              <w:jc w:val="center"/>
              <w:rPr>
                <w:rFonts w:ascii="Calibri"/>
              </w:rPr>
            </w:pPr>
            <w:r>
              <w:rPr>
                <w:rFonts w:ascii="Calibri"/>
              </w:rPr>
              <w:t>Y2</w:t>
            </w:r>
          </w:p>
        </w:tc>
        <w:tc>
          <w:tcPr>
            <w:tcW w:w="1810" w:type="dxa"/>
          </w:tcPr>
          <w:p w:rsidR="00577741" w:rsidRDefault="00362DB3">
            <w:pPr>
              <w:pStyle w:val="TableParagraph"/>
              <w:spacing w:before="165"/>
              <w:jc w:val="center"/>
              <w:rPr>
                <w:rFonts w:ascii="Calibri"/>
              </w:rPr>
            </w:pPr>
            <w:r>
              <w:rPr>
                <w:rFonts w:ascii="Calibri"/>
              </w:rPr>
              <w:t>Y</w:t>
            </w:r>
          </w:p>
        </w:tc>
        <w:tc>
          <w:tcPr>
            <w:tcW w:w="1529" w:type="dxa"/>
          </w:tcPr>
          <w:p w:rsidR="00577741" w:rsidRDefault="00362DB3">
            <w:pPr>
              <w:pStyle w:val="TableParagraph"/>
              <w:spacing w:before="165"/>
              <w:ind w:left="592" w:right="591"/>
              <w:jc w:val="center"/>
              <w:rPr>
                <w:rFonts w:ascii="Calibri"/>
              </w:rPr>
            </w:pPr>
            <w:r>
              <w:rPr>
                <w:rFonts w:ascii="Calibri"/>
              </w:rPr>
              <w:t>YM</w:t>
            </w:r>
          </w:p>
        </w:tc>
        <w:tc>
          <w:tcPr>
            <w:tcW w:w="1369" w:type="dxa"/>
          </w:tcPr>
          <w:p w:rsidR="00577741" w:rsidRDefault="00577741">
            <w:pPr>
              <w:pStyle w:val="TableParagraph"/>
              <w:rPr>
                <w:b/>
                <w:sz w:val="26"/>
              </w:rPr>
            </w:pPr>
          </w:p>
          <w:p w:rsidR="00577741" w:rsidRDefault="00362DB3">
            <w:pPr>
              <w:pStyle w:val="TableParagraph"/>
              <w:ind w:left="288" w:right="288"/>
              <w:jc w:val="center"/>
              <w:rPr>
                <w:rFonts w:ascii="Calibri"/>
              </w:rPr>
            </w:pPr>
            <w:r>
              <w:rPr>
                <w:rFonts w:ascii="Calibri"/>
              </w:rPr>
              <w:t>YS</w:t>
            </w:r>
          </w:p>
        </w:tc>
      </w:tr>
      <w:tr w:rsidR="00577741">
        <w:trPr>
          <w:trHeight w:hRule="exact" w:val="814"/>
        </w:trPr>
        <w:tc>
          <w:tcPr>
            <w:tcW w:w="2655" w:type="dxa"/>
          </w:tcPr>
          <w:p w:rsidR="00577741" w:rsidRDefault="00362DB3">
            <w:pPr>
              <w:pStyle w:val="TableParagraph"/>
              <w:spacing w:before="131"/>
              <w:ind w:left="103" w:right="211"/>
              <w:rPr>
                <w:rFonts w:ascii="Calibri"/>
                <w:b/>
              </w:rPr>
            </w:pPr>
            <w:r>
              <w:rPr>
                <w:rFonts w:ascii="Calibri"/>
                <w:b/>
              </w:rPr>
              <w:t>Jennifer Kemp-Oestriech, Pharm D</w:t>
            </w:r>
          </w:p>
        </w:tc>
        <w:tc>
          <w:tcPr>
            <w:tcW w:w="1454" w:type="dxa"/>
          </w:tcPr>
          <w:p w:rsidR="00577741" w:rsidRDefault="00577741">
            <w:pPr>
              <w:pStyle w:val="TableParagraph"/>
              <w:spacing w:before="1"/>
              <w:rPr>
                <w:b/>
                <w:sz w:val="23"/>
              </w:rPr>
            </w:pPr>
          </w:p>
          <w:p w:rsidR="00577741" w:rsidRDefault="00362DB3">
            <w:pPr>
              <w:pStyle w:val="TableParagraph"/>
              <w:jc w:val="center"/>
              <w:rPr>
                <w:rFonts w:ascii="Calibri"/>
              </w:rPr>
            </w:pPr>
            <w:r>
              <w:rPr>
                <w:rFonts w:ascii="Calibri"/>
              </w:rPr>
              <w:t>Y</w:t>
            </w:r>
          </w:p>
        </w:tc>
        <w:tc>
          <w:tcPr>
            <w:tcW w:w="1513" w:type="dxa"/>
          </w:tcPr>
          <w:p w:rsidR="00577741" w:rsidRDefault="00577741">
            <w:pPr>
              <w:pStyle w:val="TableParagraph"/>
              <w:spacing w:before="1"/>
              <w:rPr>
                <w:b/>
                <w:sz w:val="23"/>
              </w:rPr>
            </w:pPr>
          </w:p>
          <w:p w:rsidR="00577741" w:rsidRDefault="00362DB3">
            <w:pPr>
              <w:pStyle w:val="TableParagraph"/>
              <w:jc w:val="center"/>
              <w:rPr>
                <w:rFonts w:ascii="Calibri"/>
              </w:rPr>
            </w:pPr>
            <w:r>
              <w:rPr>
                <w:rFonts w:ascii="Calibri"/>
              </w:rPr>
              <w:t>Y</w:t>
            </w:r>
          </w:p>
        </w:tc>
        <w:tc>
          <w:tcPr>
            <w:tcW w:w="1558" w:type="dxa"/>
          </w:tcPr>
          <w:p w:rsidR="00577741" w:rsidRDefault="00577741">
            <w:pPr>
              <w:pStyle w:val="TableParagraph"/>
              <w:spacing w:before="1"/>
              <w:rPr>
                <w:b/>
                <w:sz w:val="23"/>
              </w:rPr>
            </w:pPr>
          </w:p>
          <w:p w:rsidR="00577741" w:rsidRDefault="00362DB3">
            <w:pPr>
              <w:pStyle w:val="TableParagraph"/>
              <w:ind w:left="606" w:right="605"/>
              <w:jc w:val="center"/>
              <w:rPr>
                <w:rFonts w:ascii="Calibri"/>
              </w:rPr>
            </w:pPr>
            <w:r>
              <w:rPr>
                <w:rFonts w:ascii="Calibri"/>
              </w:rPr>
              <w:t>YM</w:t>
            </w:r>
          </w:p>
        </w:tc>
        <w:tc>
          <w:tcPr>
            <w:tcW w:w="1810" w:type="dxa"/>
          </w:tcPr>
          <w:p w:rsidR="00577741" w:rsidRDefault="00577741">
            <w:pPr>
              <w:pStyle w:val="TableParagraph"/>
              <w:spacing w:before="1"/>
              <w:rPr>
                <w:b/>
                <w:sz w:val="23"/>
              </w:rPr>
            </w:pPr>
          </w:p>
          <w:p w:rsidR="00577741" w:rsidRDefault="00362DB3">
            <w:pPr>
              <w:pStyle w:val="TableParagraph"/>
              <w:ind w:left="143" w:right="143"/>
              <w:jc w:val="center"/>
              <w:rPr>
                <w:rFonts w:ascii="Calibri"/>
              </w:rPr>
            </w:pPr>
            <w:r>
              <w:rPr>
                <w:rFonts w:ascii="Calibri"/>
              </w:rPr>
              <w:t>YM</w:t>
            </w:r>
          </w:p>
        </w:tc>
        <w:tc>
          <w:tcPr>
            <w:tcW w:w="1529" w:type="dxa"/>
          </w:tcPr>
          <w:p w:rsidR="00577741" w:rsidRDefault="00577741">
            <w:pPr>
              <w:pStyle w:val="TableParagraph"/>
              <w:spacing w:before="1"/>
              <w:rPr>
                <w:b/>
                <w:sz w:val="23"/>
              </w:rPr>
            </w:pPr>
          </w:p>
          <w:p w:rsidR="00577741" w:rsidRDefault="00362DB3">
            <w:pPr>
              <w:pStyle w:val="TableParagraph"/>
              <w:jc w:val="center"/>
              <w:rPr>
                <w:rFonts w:ascii="Calibri"/>
              </w:rPr>
            </w:pPr>
            <w:r>
              <w:rPr>
                <w:rFonts w:ascii="Calibri"/>
              </w:rPr>
              <w:t>Y</w:t>
            </w:r>
          </w:p>
        </w:tc>
        <w:tc>
          <w:tcPr>
            <w:tcW w:w="1369" w:type="dxa"/>
          </w:tcPr>
          <w:p w:rsidR="00577741" w:rsidRDefault="00577741">
            <w:pPr>
              <w:pStyle w:val="TableParagraph"/>
              <w:rPr>
                <w:b/>
              </w:rPr>
            </w:pPr>
          </w:p>
          <w:p w:rsidR="00577741" w:rsidRDefault="00577741">
            <w:pPr>
              <w:pStyle w:val="TableParagraph"/>
              <w:spacing w:before="3"/>
              <w:rPr>
                <w:b/>
                <w:sz w:val="24"/>
              </w:rPr>
            </w:pPr>
          </w:p>
          <w:p w:rsidR="00577741" w:rsidRDefault="00362DB3">
            <w:pPr>
              <w:pStyle w:val="TableParagraph"/>
              <w:jc w:val="center"/>
              <w:rPr>
                <w:rFonts w:ascii="Calibri"/>
              </w:rPr>
            </w:pPr>
            <w:r>
              <w:rPr>
                <w:rFonts w:ascii="Calibri"/>
              </w:rPr>
              <w:t>Y</w:t>
            </w:r>
          </w:p>
        </w:tc>
      </w:tr>
      <w:tr w:rsidR="00577741">
        <w:trPr>
          <w:trHeight w:hRule="exact" w:val="547"/>
        </w:trPr>
        <w:tc>
          <w:tcPr>
            <w:tcW w:w="2655" w:type="dxa"/>
          </w:tcPr>
          <w:p w:rsidR="00577741" w:rsidRDefault="00362DB3">
            <w:pPr>
              <w:pStyle w:val="TableParagraph"/>
              <w:spacing w:before="131"/>
              <w:ind w:left="103"/>
              <w:rPr>
                <w:rFonts w:ascii="Calibri"/>
                <w:b/>
              </w:rPr>
            </w:pPr>
            <w:r>
              <w:rPr>
                <w:rFonts w:ascii="Calibri"/>
                <w:b/>
              </w:rPr>
              <w:t>Morgan Sperry, Pharm D</w:t>
            </w:r>
          </w:p>
        </w:tc>
        <w:tc>
          <w:tcPr>
            <w:tcW w:w="1454" w:type="dxa"/>
          </w:tcPr>
          <w:p w:rsidR="00577741" w:rsidRDefault="00362DB3">
            <w:pPr>
              <w:pStyle w:val="TableParagraph"/>
              <w:spacing w:before="131"/>
              <w:jc w:val="center"/>
              <w:rPr>
                <w:rFonts w:ascii="Calibri"/>
              </w:rPr>
            </w:pPr>
            <w:r>
              <w:rPr>
                <w:rFonts w:ascii="Calibri"/>
              </w:rPr>
              <w:t>-</w:t>
            </w:r>
          </w:p>
        </w:tc>
        <w:tc>
          <w:tcPr>
            <w:tcW w:w="1513" w:type="dxa"/>
          </w:tcPr>
          <w:p w:rsidR="00577741" w:rsidRDefault="00362DB3">
            <w:pPr>
              <w:pStyle w:val="TableParagraph"/>
              <w:spacing w:before="131"/>
              <w:jc w:val="center"/>
              <w:rPr>
                <w:rFonts w:ascii="Calibri"/>
              </w:rPr>
            </w:pPr>
            <w:r>
              <w:rPr>
                <w:rFonts w:ascii="Calibri"/>
              </w:rPr>
              <w:t>-</w:t>
            </w:r>
          </w:p>
        </w:tc>
        <w:tc>
          <w:tcPr>
            <w:tcW w:w="1558" w:type="dxa"/>
          </w:tcPr>
          <w:p w:rsidR="00577741" w:rsidRDefault="00362DB3">
            <w:pPr>
              <w:pStyle w:val="TableParagraph"/>
              <w:spacing w:before="131"/>
              <w:jc w:val="center"/>
              <w:rPr>
                <w:rFonts w:ascii="Calibri"/>
              </w:rPr>
            </w:pPr>
            <w:r>
              <w:rPr>
                <w:rFonts w:ascii="Calibri"/>
              </w:rPr>
              <w:t>-</w:t>
            </w:r>
          </w:p>
        </w:tc>
        <w:tc>
          <w:tcPr>
            <w:tcW w:w="1810" w:type="dxa"/>
          </w:tcPr>
          <w:p w:rsidR="00577741" w:rsidRDefault="00362DB3">
            <w:pPr>
              <w:pStyle w:val="TableParagraph"/>
              <w:spacing w:before="131"/>
              <w:jc w:val="center"/>
              <w:rPr>
                <w:rFonts w:ascii="Calibri"/>
              </w:rPr>
            </w:pPr>
            <w:r>
              <w:rPr>
                <w:rFonts w:ascii="Calibri"/>
              </w:rPr>
              <w:t>-</w:t>
            </w:r>
          </w:p>
        </w:tc>
        <w:tc>
          <w:tcPr>
            <w:tcW w:w="1529" w:type="dxa"/>
          </w:tcPr>
          <w:p w:rsidR="00577741" w:rsidRDefault="00362DB3">
            <w:pPr>
              <w:pStyle w:val="TableParagraph"/>
              <w:spacing w:before="131"/>
              <w:jc w:val="center"/>
              <w:rPr>
                <w:rFonts w:ascii="Calibri"/>
              </w:rPr>
            </w:pPr>
            <w:r>
              <w:rPr>
                <w:rFonts w:ascii="Calibri"/>
              </w:rPr>
              <w:t>-</w:t>
            </w:r>
          </w:p>
        </w:tc>
        <w:tc>
          <w:tcPr>
            <w:tcW w:w="1369" w:type="dxa"/>
          </w:tcPr>
          <w:p w:rsidR="00577741" w:rsidRDefault="00577741">
            <w:pPr>
              <w:pStyle w:val="TableParagraph"/>
              <w:spacing w:before="1"/>
              <w:rPr>
                <w:b/>
                <w:sz w:val="23"/>
              </w:rPr>
            </w:pPr>
          </w:p>
          <w:p w:rsidR="00577741" w:rsidRDefault="00362DB3">
            <w:pPr>
              <w:pStyle w:val="TableParagraph"/>
              <w:jc w:val="center"/>
              <w:rPr>
                <w:rFonts w:ascii="Calibri"/>
              </w:rPr>
            </w:pPr>
            <w:r>
              <w:rPr>
                <w:rFonts w:ascii="Calibri"/>
              </w:rPr>
              <w:t>-</w:t>
            </w:r>
          </w:p>
        </w:tc>
      </w:tr>
    </w:tbl>
    <w:p w:rsidR="00577741" w:rsidRDefault="00577741">
      <w:pPr>
        <w:rPr>
          <w:sz w:val="2"/>
          <w:szCs w:val="2"/>
        </w:rPr>
      </w:pPr>
    </w:p>
    <w:sectPr w:rsidR="00577741">
      <w:pgSz w:w="15840" w:h="12240" w:orient="landscape"/>
      <w:pgMar w:top="1080" w:right="960" w:bottom="1060" w:left="960" w:header="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8E" w:rsidRDefault="00B0728E">
      <w:r>
        <w:separator/>
      </w:r>
    </w:p>
  </w:endnote>
  <w:endnote w:type="continuationSeparator" w:id="0">
    <w:p w:rsidR="00B0728E" w:rsidRDefault="00B0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41" w:rsidRDefault="00524246">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9272270</wp:posOffset>
              </wp:positionH>
              <wp:positionV relativeFrom="page">
                <wp:posOffset>7045960</wp:posOffset>
              </wp:positionV>
              <wp:extent cx="127000" cy="194310"/>
              <wp:effectExtent l="444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741" w:rsidRDefault="00362DB3">
                          <w:pPr>
                            <w:spacing w:before="10"/>
                            <w:ind w:left="40"/>
                            <w:rPr>
                              <w:rFonts w:ascii="Times New Roman"/>
                              <w:sz w:val="24"/>
                            </w:rPr>
                          </w:pPr>
                          <w:r>
                            <w:fldChar w:fldCharType="begin"/>
                          </w:r>
                          <w:r>
                            <w:rPr>
                              <w:rFonts w:ascii="Times New Roman"/>
                              <w:sz w:val="24"/>
                            </w:rPr>
                            <w:instrText xml:space="preserve"> PAGE </w:instrText>
                          </w:r>
                          <w:r>
                            <w:fldChar w:fldCharType="separate"/>
                          </w:r>
                          <w:r w:rsidR="00A5320B">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30.1pt;margin-top:554.8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" filled="f" stroked="f">
              <v:textbox inset="0,0,0,0">
                <w:txbxContent>
                  <w:p w:rsidR="00577741" w:rsidRDefault="00362DB3">
                    <w:pPr>
                      <w:spacing w:before="10"/>
                      <w:ind w:left="40"/>
                      <w:rPr>
                        <w:rFonts w:ascii="Times New Roman"/>
                        <w:sz w:val="24"/>
                      </w:rPr>
                    </w:pPr>
                    <w:r>
                      <w:fldChar w:fldCharType="begin"/>
                    </w:r>
                    <w:r>
                      <w:rPr>
                        <w:rFonts w:ascii="Times New Roman"/>
                        <w:sz w:val="24"/>
                      </w:rPr>
                      <w:instrText xml:space="preserve"> PAGE </w:instrText>
                    </w:r>
                    <w:r>
                      <w:fldChar w:fldCharType="separate"/>
                    </w:r>
                    <w:r w:rsidR="00A5320B">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8E" w:rsidRDefault="00B0728E">
      <w:r>
        <w:separator/>
      </w:r>
    </w:p>
  </w:footnote>
  <w:footnote w:type="continuationSeparator" w:id="0">
    <w:p w:rsidR="00B0728E" w:rsidRDefault="00B07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49D"/>
    <w:multiLevelType w:val="hybridMultilevel"/>
    <w:tmpl w:val="FC284480"/>
    <w:lvl w:ilvl="0" w:tplc="61927292">
      <w:numFmt w:val="bullet"/>
      <w:lvlText w:val=""/>
      <w:lvlJc w:val="left"/>
      <w:pPr>
        <w:ind w:left="373" w:hanging="226"/>
      </w:pPr>
      <w:rPr>
        <w:rFonts w:ascii="Symbol" w:eastAsia="Symbol" w:hAnsi="Symbol" w:cs="Symbol" w:hint="default"/>
        <w:b/>
        <w:bCs/>
        <w:w w:val="100"/>
        <w:sz w:val="22"/>
        <w:szCs w:val="22"/>
      </w:rPr>
    </w:lvl>
    <w:lvl w:ilvl="1" w:tplc="D7FA3D80">
      <w:numFmt w:val="bullet"/>
      <w:lvlText w:val="•"/>
      <w:lvlJc w:val="left"/>
      <w:pPr>
        <w:ind w:left="1422" w:hanging="226"/>
      </w:pPr>
      <w:rPr>
        <w:rFonts w:hint="default"/>
      </w:rPr>
    </w:lvl>
    <w:lvl w:ilvl="2" w:tplc="A312817A">
      <w:numFmt w:val="bullet"/>
      <w:lvlText w:val="•"/>
      <w:lvlJc w:val="left"/>
      <w:pPr>
        <w:ind w:left="2464" w:hanging="226"/>
      </w:pPr>
      <w:rPr>
        <w:rFonts w:hint="default"/>
      </w:rPr>
    </w:lvl>
    <w:lvl w:ilvl="3" w:tplc="9EAE28F0">
      <w:numFmt w:val="bullet"/>
      <w:lvlText w:val="•"/>
      <w:lvlJc w:val="left"/>
      <w:pPr>
        <w:ind w:left="3506" w:hanging="226"/>
      </w:pPr>
      <w:rPr>
        <w:rFonts w:hint="default"/>
      </w:rPr>
    </w:lvl>
    <w:lvl w:ilvl="4" w:tplc="048CC464">
      <w:numFmt w:val="bullet"/>
      <w:lvlText w:val="•"/>
      <w:lvlJc w:val="left"/>
      <w:pPr>
        <w:ind w:left="4549" w:hanging="226"/>
      </w:pPr>
      <w:rPr>
        <w:rFonts w:hint="default"/>
      </w:rPr>
    </w:lvl>
    <w:lvl w:ilvl="5" w:tplc="E78EE790">
      <w:numFmt w:val="bullet"/>
      <w:lvlText w:val="•"/>
      <w:lvlJc w:val="left"/>
      <w:pPr>
        <w:ind w:left="5591" w:hanging="226"/>
      </w:pPr>
      <w:rPr>
        <w:rFonts w:hint="default"/>
      </w:rPr>
    </w:lvl>
    <w:lvl w:ilvl="6" w:tplc="1CD4308A">
      <w:numFmt w:val="bullet"/>
      <w:lvlText w:val="•"/>
      <w:lvlJc w:val="left"/>
      <w:pPr>
        <w:ind w:left="6633" w:hanging="226"/>
      </w:pPr>
      <w:rPr>
        <w:rFonts w:hint="default"/>
      </w:rPr>
    </w:lvl>
    <w:lvl w:ilvl="7" w:tplc="995C082A">
      <w:numFmt w:val="bullet"/>
      <w:lvlText w:val="•"/>
      <w:lvlJc w:val="left"/>
      <w:pPr>
        <w:ind w:left="7675" w:hanging="226"/>
      </w:pPr>
      <w:rPr>
        <w:rFonts w:hint="default"/>
      </w:rPr>
    </w:lvl>
    <w:lvl w:ilvl="8" w:tplc="B85C4328">
      <w:numFmt w:val="bullet"/>
      <w:lvlText w:val="•"/>
      <w:lvlJc w:val="left"/>
      <w:pPr>
        <w:ind w:left="8718" w:hanging="226"/>
      </w:pPr>
      <w:rPr>
        <w:rFonts w:hint="default"/>
      </w:rPr>
    </w:lvl>
  </w:abstractNum>
  <w:abstractNum w:abstractNumId="1">
    <w:nsid w:val="0BA9116A"/>
    <w:multiLevelType w:val="hybridMultilevel"/>
    <w:tmpl w:val="A5345946"/>
    <w:lvl w:ilvl="0" w:tplc="6762A2DC">
      <w:numFmt w:val="bullet"/>
      <w:lvlText w:val=""/>
      <w:lvlJc w:val="left"/>
      <w:pPr>
        <w:ind w:left="373" w:hanging="226"/>
      </w:pPr>
      <w:rPr>
        <w:rFonts w:ascii="Symbol" w:eastAsia="Symbol" w:hAnsi="Symbol" w:cs="Symbol" w:hint="default"/>
        <w:b/>
        <w:bCs/>
        <w:w w:val="100"/>
        <w:sz w:val="22"/>
        <w:szCs w:val="22"/>
      </w:rPr>
    </w:lvl>
    <w:lvl w:ilvl="1" w:tplc="6E18FE58">
      <w:numFmt w:val="bullet"/>
      <w:lvlText w:val="•"/>
      <w:lvlJc w:val="left"/>
      <w:pPr>
        <w:ind w:left="1422" w:hanging="226"/>
      </w:pPr>
      <w:rPr>
        <w:rFonts w:hint="default"/>
      </w:rPr>
    </w:lvl>
    <w:lvl w:ilvl="2" w:tplc="374E1938">
      <w:numFmt w:val="bullet"/>
      <w:lvlText w:val="•"/>
      <w:lvlJc w:val="left"/>
      <w:pPr>
        <w:ind w:left="2464" w:hanging="226"/>
      </w:pPr>
      <w:rPr>
        <w:rFonts w:hint="default"/>
      </w:rPr>
    </w:lvl>
    <w:lvl w:ilvl="3" w:tplc="FF90F020">
      <w:numFmt w:val="bullet"/>
      <w:lvlText w:val="•"/>
      <w:lvlJc w:val="left"/>
      <w:pPr>
        <w:ind w:left="3506" w:hanging="226"/>
      </w:pPr>
      <w:rPr>
        <w:rFonts w:hint="default"/>
      </w:rPr>
    </w:lvl>
    <w:lvl w:ilvl="4" w:tplc="B552A2B6">
      <w:numFmt w:val="bullet"/>
      <w:lvlText w:val="•"/>
      <w:lvlJc w:val="left"/>
      <w:pPr>
        <w:ind w:left="4549" w:hanging="226"/>
      </w:pPr>
      <w:rPr>
        <w:rFonts w:hint="default"/>
      </w:rPr>
    </w:lvl>
    <w:lvl w:ilvl="5" w:tplc="C918278A">
      <w:numFmt w:val="bullet"/>
      <w:lvlText w:val="•"/>
      <w:lvlJc w:val="left"/>
      <w:pPr>
        <w:ind w:left="5591" w:hanging="226"/>
      </w:pPr>
      <w:rPr>
        <w:rFonts w:hint="default"/>
      </w:rPr>
    </w:lvl>
    <w:lvl w:ilvl="6" w:tplc="3AEA9B6C">
      <w:numFmt w:val="bullet"/>
      <w:lvlText w:val="•"/>
      <w:lvlJc w:val="left"/>
      <w:pPr>
        <w:ind w:left="6633" w:hanging="226"/>
      </w:pPr>
      <w:rPr>
        <w:rFonts w:hint="default"/>
      </w:rPr>
    </w:lvl>
    <w:lvl w:ilvl="7" w:tplc="EA8244C6">
      <w:numFmt w:val="bullet"/>
      <w:lvlText w:val="•"/>
      <w:lvlJc w:val="left"/>
      <w:pPr>
        <w:ind w:left="7675" w:hanging="226"/>
      </w:pPr>
      <w:rPr>
        <w:rFonts w:hint="default"/>
      </w:rPr>
    </w:lvl>
    <w:lvl w:ilvl="8" w:tplc="C9009062">
      <w:numFmt w:val="bullet"/>
      <w:lvlText w:val="•"/>
      <w:lvlJc w:val="left"/>
      <w:pPr>
        <w:ind w:left="8718" w:hanging="226"/>
      </w:pPr>
      <w:rPr>
        <w:rFonts w:hint="default"/>
      </w:rPr>
    </w:lvl>
  </w:abstractNum>
  <w:abstractNum w:abstractNumId="2">
    <w:nsid w:val="0C170766"/>
    <w:multiLevelType w:val="hybridMultilevel"/>
    <w:tmpl w:val="017E91CE"/>
    <w:lvl w:ilvl="0" w:tplc="FADEBDA2">
      <w:numFmt w:val="bullet"/>
      <w:lvlText w:val=""/>
      <w:lvlJc w:val="left"/>
      <w:pPr>
        <w:ind w:left="339" w:hanging="226"/>
      </w:pPr>
      <w:rPr>
        <w:rFonts w:ascii="Symbol" w:eastAsia="Symbol" w:hAnsi="Symbol" w:cs="Symbol" w:hint="default"/>
        <w:b/>
        <w:bCs/>
        <w:w w:val="100"/>
        <w:sz w:val="22"/>
        <w:szCs w:val="22"/>
      </w:rPr>
    </w:lvl>
    <w:lvl w:ilvl="1" w:tplc="6C2C6A2A">
      <w:numFmt w:val="bullet"/>
      <w:lvlText w:val="•"/>
      <w:lvlJc w:val="left"/>
      <w:pPr>
        <w:ind w:left="1386" w:hanging="226"/>
      </w:pPr>
      <w:rPr>
        <w:rFonts w:hint="default"/>
      </w:rPr>
    </w:lvl>
    <w:lvl w:ilvl="2" w:tplc="5FD85A14">
      <w:numFmt w:val="bullet"/>
      <w:lvlText w:val="•"/>
      <w:lvlJc w:val="left"/>
      <w:pPr>
        <w:ind w:left="2432" w:hanging="226"/>
      </w:pPr>
      <w:rPr>
        <w:rFonts w:hint="default"/>
      </w:rPr>
    </w:lvl>
    <w:lvl w:ilvl="3" w:tplc="1058694E">
      <w:numFmt w:val="bullet"/>
      <w:lvlText w:val="•"/>
      <w:lvlJc w:val="left"/>
      <w:pPr>
        <w:ind w:left="3478" w:hanging="226"/>
      </w:pPr>
      <w:rPr>
        <w:rFonts w:hint="default"/>
      </w:rPr>
    </w:lvl>
    <w:lvl w:ilvl="4" w:tplc="60F62BFA">
      <w:numFmt w:val="bullet"/>
      <w:lvlText w:val="•"/>
      <w:lvlJc w:val="left"/>
      <w:pPr>
        <w:ind w:left="4525" w:hanging="226"/>
      </w:pPr>
      <w:rPr>
        <w:rFonts w:hint="default"/>
      </w:rPr>
    </w:lvl>
    <w:lvl w:ilvl="5" w:tplc="A1E8E508">
      <w:numFmt w:val="bullet"/>
      <w:lvlText w:val="•"/>
      <w:lvlJc w:val="left"/>
      <w:pPr>
        <w:ind w:left="5571" w:hanging="226"/>
      </w:pPr>
      <w:rPr>
        <w:rFonts w:hint="default"/>
      </w:rPr>
    </w:lvl>
    <w:lvl w:ilvl="6" w:tplc="274CFB92">
      <w:numFmt w:val="bullet"/>
      <w:lvlText w:val="•"/>
      <w:lvlJc w:val="left"/>
      <w:pPr>
        <w:ind w:left="6617" w:hanging="226"/>
      </w:pPr>
      <w:rPr>
        <w:rFonts w:hint="default"/>
      </w:rPr>
    </w:lvl>
    <w:lvl w:ilvl="7" w:tplc="B97EB2D0">
      <w:numFmt w:val="bullet"/>
      <w:lvlText w:val="•"/>
      <w:lvlJc w:val="left"/>
      <w:pPr>
        <w:ind w:left="7663" w:hanging="226"/>
      </w:pPr>
      <w:rPr>
        <w:rFonts w:hint="default"/>
      </w:rPr>
    </w:lvl>
    <w:lvl w:ilvl="8" w:tplc="4EB49DE0">
      <w:numFmt w:val="bullet"/>
      <w:lvlText w:val="•"/>
      <w:lvlJc w:val="left"/>
      <w:pPr>
        <w:ind w:left="8710" w:hanging="226"/>
      </w:pPr>
      <w:rPr>
        <w:rFonts w:hint="default"/>
      </w:rPr>
    </w:lvl>
  </w:abstractNum>
  <w:abstractNum w:abstractNumId="3">
    <w:nsid w:val="0D7D3106"/>
    <w:multiLevelType w:val="hybridMultilevel"/>
    <w:tmpl w:val="D4E01F40"/>
    <w:lvl w:ilvl="0" w:tplc="3232F1BA">
      <w:numFmt w:val="bullet"/>
      <w:lvlText w:val=""/>
      <w:lvlJc w:val="left"/>
      <w:pPr>
        <w:ind w:left="362" w:hanging="226"/>
      </w:pPr>
      <w:rPr>
        <w:rFonts w:ascii="Symbol" w:eastAsia="Symbol" w:hAnsi="Symbol" w:cs="Symbol" w:hint="default"/>
        <w:b/>
        <w:bCs/>
        <w:w w:val="100"/>
        <w:sz w:val="22"/>
        <w:szCs w:val="22"/>
      </w:rPr>
    </w:lvl>
    <w:lvl w:ilvl="1" w:tplc="F252D2BC">
      <w:numFmt w:val="bullet"/>
      <w:lvlText w:val="•"/>
      <w:lvlJc w:val="left"/>
      <w:pPr>
        <w:ind w:left="1403" w:hanging="226"/>
      </w:pPr>
      <w:rPr>
        <w:rFonts w:hint="default"/>
      </w:rPr>
    </w:lvl>
    <w:lvl w:ilvl="2" w:tplc="148CBB02">
      <w:numFmt w:val="bullet"/>
      <w:lvlText w:val="•"/>
      <w:lvlJc w:val="left"/>
      <w:pPr>
        <w:ind w:left="2446" w:hanging="226"/>
      </w:pPr>
      <w:rPr>
        <w:rFonts w:hint="default"/>
      </w:rPr>
    </w:lvl>
    <w:lvl w:ilvl="3" w:tplc="AEB29316">
      <w:numFmt w:val="bullet"/>
      <w:lvlText w:val="•"/>
      <w:lvlJc w:val="left"/>
      <w:pPr>
        <w:ind w:left="3489" w:hanging="226"/>
      </w:pPr>
      <w:rPr>
        <w:rFonts w:hint="default"/>
      </w:rPr>
    </w:lvl>
    <w:lvl w:ilvl="4" w:tplc="5316DE64">
      <w:numFmt w:val="bullet"/>
      <w:lvlText w:val="•"/>
      <w:lvlJc w:val="left"/>
      <w:pPr>
        <w:ind w:left="4533" w:hanging="226"/>
      </w:pPr>
      <w:rPr>
        <w:rFonts w:hint="default"/>
      </w:rPr>
    </w:lvl>
    <w:lvl w:ilvl="5" w:tplc="3EE082A8">
      <w:numFmt w:val="bullet"/>
      <w:lvlText w:val="•"/>
      <w:lvlJc w:val="left"/>
      <w:pPr>
        <w:ind w:left="5576" w:hanging="226"/>
      </w:pPr>
      <w:rPr>
        <w:rFonts w:hint="default"/>
      </w:rPr>
    </w:lvl>
    <w:lvl w:ilvl="6" w:tplc="D214E4C0">
      <w:numFmt w:val="bullet"/>
      <w:lvlText w:val="•"/>
      <w:lvlJc w:val="left"/>
      <w:pPr>
        <w:ind w:left="6619" w:hanging="226"/>
      </w:pPr>
      <w:rPr>
        <w:rFonts w:hint="default"/>
      </w:rPr>
    </w:lvl>
    <w:lvl w:ilvl="7" w:tplc="4D6CAEA4">
      <w:numFmt w:val="bullet"/>
      <w:lvlText w:val="•"/>
      <w:lvlJc w:val="left"/>
      <w:pPr>
        <w:ind w:left="7663" w:hanging="226"/>
      </w:pPr>
      <w:rPr>
        <w:rFonts w:hint="default"/>
      </w:rPr>
    </w:lvl>
    <w:lvl w:ilvl="8" w:tplc="4D1A3092">
      <w:numFmt w:val="bullet"/>
      <w:lvlText w:val="•"/>
      <w:lvlJc w:val="left"/>
      <w:pPr>
        <w:ind w:left="8706" w:hanging="226"/>
      </w:pPr>
      <w:rPr>
        <w:rFonts w:hint="default"/>
      </w:rPr>
    </w:lvl>
  </w:abstractNum>
  <w:abstractNum w:abstractNumId="4">
    <w:nsid w:val="238C7C3D"/>
    <w:multiLevelType w:val="hybridMultilevel"/>
    <w:tmpl w:val="EDC41A5E"/>
    <w:lvl w:ilvl="0" w:tplc="00C83A36">
      <w:numFmt w:val="bullet"/>
      <w:lvlText w:val=""/>
      <w:lvlJc w:val="left"/>
      <w:pPr>
        <w:ind w:left="328" w:hanging="226"/>
      </w:pPr>
      <w:rPr>
        <w:rFonts w:ascii="Symbol" w:eastAsia="Symbol" w:hAnsi="Symbol" w:cs="Symbol" w:hint="default"/>
        <w:b/>
        <w:bCs/>
        <w:w w:val="100"/>
        <w:sz w:val="22"/>
        <w:szCs w:val="22"/>
      </w:rPr>
    </w:lvl>
    <w:lvl w:ilvl="1" w:tplc="7520CB62">
      <w:numFmt w:val="bullet"/>
      <w:lvlText w:val="•"/>
      <w:lvlJc w:val="left"/>
      <w:pPr>
        <w:ind w:left="1367" w:hanging="226"/>
      </w:pPr>
      <w:rPr>
        <w:rFonts w:hint="default"/>
      </w:rPr>
    </w:lvl>
    <w:lvl w:ilvl="2" w:tplc="F5D0F4F0">
      <w:numFmt w:val="bullet"/>
      <w:lvlText w:val="•"/>
      <w:lvlJc w:val="left"/>
      <w:pPr>
        <w:ind w:left="2414" w:hanging="226"/>
      </w:pPr>
      <w:rPr>
        <w:rFonts w:hint="default"/>
      </w:rPr>
    </w:lvl>
    <w:lvl w:ilvl="3" w:tplc="20FE171A">
      <w:numFmt w:val="bullet"/>
      <w:lvlText w:val="•"/>
      <w:lvlJc w:val="left"/>
      <w:pPr>
        <w:ind w:left="3461" w:hanging="226"/>
      </w:pPr>
      <w:rPr>
        <w:rFonts w:hint="default"/>
      </w:rPr>
    </w:lvl>
    <w:lvl w:ilvl="4" w:tplc="96360E4A">
      <w:numFmt w:val="bullet"/>
      <w:lvlText w:val="•"/>
      <w:lvlJc w:val="left"/>
      <w:pPr>
        <w:ind w:left="4509" w:hanging="226"/>
      </w:pPr>
      <w:rPr>
        <w:rFonts w:hint="default"/>
      </w:rPr>
    </w:lvl>
    <w:lvl w:ilvl="5" w:tplc="789095EA">
      <w:numFmt w:val="bullet"/>
      <w:lvlText w:val="•"/>
      <w:lvlJc w:val="left"/>
      <w:pPr>
        <w:ind w:left="5556" w:hanging="226"/>
      </w:pPr>
      <w:rPr>
        <w:rFonts w:hint="default"/>
      </w:rPr>
    </w:lvl>
    <w:lvl w:ilvl="6" w:tplc="98743138">
      <w:numFmt w:val="bullet"/>
      <w:lvlText w:val="•"/>
      <w:lvlJc w:val="left"/>
      <w:pPr>
        <w:ind w:left="6603" w:hanging="226"/>
      </w:pPr>
      <w:rPr>
        <w:rFonts w:hint="default"/>
      </w:rPr>
    </w:lvl>
    <w:lvl w:ilvl="7" w:tplc="BB9E2DC0">
      <w:numFmt w:val="bullet"/>
      <w:lvlText w:val="•"/>
      <w:lvlJc w:val="left"/>
      <w:pPr>
        <w:ind w:left="7651" w:hanging="226"/>
      </w:pPr>
      <w:rPr>
        <w:rFonts w:hint="default"/>
      </w:rPr>
    </w:lvl>
    <w:lvl w:ilvl="8" w:tplc="7FEE51B2">
      <w:numFmt w:val="bullet"/>
      <w:lvlText w:val="•"/>
      <w:lvlJc w:val="left"/>
      <w:pPr>
        <w:ind w:left="8698" w:hanging="226"/>
      </w:pPr>
      <w:rPr>
        <w:rFonts w:hint="default"/>
      </w:rPr>
    </w:lvl>
  </w:abstractNum>
  <w:abstractNum w:abstractNumId="5">
    <w:nsid w:val="2EF410C1"/>
    <w:multiLevelType w:val="hybridMultilevel"/>
    <w:tmpl w:val="D4E4D472"/>
    <w:lvl w:ilvl="0" w:tplc="D32E11E4">
      <w:numFmt w:val="bullet"/>
      <w:lvlText w:val=""/>
      <w:lvlJc w:val="left"/>
      <w:pPr>
        <w:ind w:left="339" w:hanging="226"/>
      </w:pPr>
      <w:rPr>
        <w:rFonts w:ascii="Symbol" w:eastAsia="Symbol" w:hAnsi="Symbol" w:cs="Symbol" w:hint="default"/>
        <w:b/>
        <w:bCs/>
        <w:w w:val="100"/>
        <w:sz w:val="22"/>
        <w:szCs w:val="22"/>
      </w:rPr>
    </w:lvl>
    <w:lvl w:ilvl="1" w:tplc="B3509F6A">
      <w:numFmt w:val="bullet"/>
      <w:lvlText w:val="•"/>
      <w:lvlJc w:val="left"/>
      <w:pPr>
        <w:ind w:left="1386" w:hanging="226"/>
      </w:pPr>
      <w:rPr>
        <w:rFonts w:hint="default"/>
      </w:rPr>
    </w:lvl>
    <w:lvl w:ilvl="2" w:tplc="2DE4E8EA">
      <w:numFmt w:val="bullet"/>
      <w:lvlText w:val="•"/>
      <w:lvlJc w:val="left"/>
      <w:pPr>
        <w:ind w:left="2432" w:hanging="226"/>
      </w:pPr>
      <w:rPr>
        <w:rFonts w:hint="default"/>
      </w:rPr>
    </w:lvl>
    <w:lvl w:ilvl="3" w:tplc="1538851A">
      <w:numFmt w:val="bullet"/>
      <w:lvlText w:val="•"/>
      <w:lvlJc w:val="left"/>
      <w:pPr>
        <w:ind w:left="3478" w:hanging="226"/>
      </w:pPr>
      <w:rPr>
        <w:rFonts w:hint="default"/>
      </w:rPr>
    </w:lvl>
    <w:lvl w:ilvl="4" w:tplc="9E18734C">
      <w:numFmt w:val="bullet"/>
      <w:lvlText w:val="•"/>
      <w:lvlJc w:val="left"/>
      <w:pPr>
        <w:ind w:left="4525" w:hanging="226"/>
      </w:pPr>
      <w:rPr>
        <w:rFonts w:hint="default"/>
      </w:rPr>
    </w:lvl>
    <w:lvl w:ilvl="5" w:tplc="8C72551E">
      <w:numFmt w:val="bullet"/>
      <w:lvlText w:val="•"/>
      <w:lvlJc w:val="left"/>
      <w:pPr>
        <w:ind w:left="5571" w:hanging="226"/>
      </w:pPr>
      <w:rPr>
        <w:rFonts w:hint="default"/>
      </w:rPr>
    </w:lvl>
    <w:lvl w:ilvl="6" w:tplc="D674A51E">
      <w:numFmt w:val="bullet"/>
      <w:lvlText w:val="•"/>
      <w:lvlJc w:val="left"/>
      <w:pPr>
        <w:ind w:left="6617" w:hanging="226"/>
      </w:pPr>
      <w:rPr>
        <w:rFonts w:hint="default"/>
      </w:rPr>
    </w:lvl>
    <w:lvl w:ilvl="7" w:tplc="193C78A0">
      <w:numFmt w:val="bullet"/>
      <w:lvlText w:val="•"/>
      <w:lvlJc w:val="left"/>
      <w:pPr>
        <w:ind w:left="7663" w:hanging="226"/>
      </w:pPr>
      <w:rPr>
        <w:rFonts w:hint="default"/>
      </w:rPr>
    </w:lvl>
    <w:lvl w:ilvl="8" w:tplc="0A12A96C">
      <w:numFmt w:val="bullet"/>
      <w:lvlText w:val="•"/>
      <w:lvlJc w:val="left"/>
      <w:pPr>
        <w:ind w:left="8710" w:hanging="226"/>
      </w:pPr>
      <w:rPr>
        <w:rFonts w:hint="default"/>
      </w:rPr>
    </w:lvl>
  </w:abstractNum>
  <w:abstractNum w:abstractNumId="6">
    <w:nsid w:val="350005FF"/>
    <w:multiLevelType w:val="hybridMultilevel"/>
    <w:tmpl w:val="555C2E6E"/>
    <w:lvl w:ilvl="0" w:tplc="9600107A">
      <w:numFmt w:val="bullet"/>
      <w:lvlText w:val=""/>
      <w:lvlJc w:val="left"/>
      <w:pPr>
        <w:ind w:left="328" w:hanging="226"/>
      </w:pPr>
      <w:rPr>
        <w:rFonts w:ascii="Symbol" w:eastAsia="Symbol" w:hAnsi="Symbol" w:cs="Symbol" w:hint="default"/>
        <w:b/>
        <w:bCs/>
        <w:w w:val="100"/>
        <w:sz w:val="22"/>
        <w:szCs w:val="22"/>
      </w:rPr>
    </w:lvl>
    <w:lvl w:ilvl="1" w:tplc="792E34D0">
      <w:numFmt w:val="bullet"/>
      <w:lvlText w:val="•"/>
      <w:lvlJc w:val="left"/>
      <w:pPr>
        <w:ind w:left="1367" w:hanging="226"/>
      </w:pPr>
      <w:rPr>
        <w:rFonts w:hint="default"/>
      </w:rPr>
    </w:lvl>
    <w:lvl w:ilvl="2" w:tplc="94EA6C3E">
      <w:numFmt w:val="bullet"/>
      <w:lvlText w:val="•"/>
      <w:lvlJc w:val="left"/>
      <w:pPr>
        <w:ind w:left="2414" w:hanging="226"/>
      </w:pPr>
      <w:rPr>
        <w:rFonts w:hint="default"/>
      </w:rPr>
    </w:lvl>
    <w:lvl w:ilvl="3" w:tplc="20D612B6">
      <w:numFmt w:val="bullet"/>
      <w:lvlText w:val="•"/>
      <w:lvlJc w:val="left"/>
      <w:pPr>
        <w:ind w:left="3461" w:hanging="226"/>
      </w:pPr>
      <w:rPr>
        <w:rFonts w:hint="default"/>
      </w:rPr>
    </w:lvl>
    <w:lvl w:ilvl="4" w:tplc="2754243E">
      <w:numFmt w:val="bullet"/>
      <w:lvlText w:val="•"/>
      <w:lvlJc w:val="left"/>
      <w:pPr>
        <w:ind w:left="4509" w:hanging="226"/>
      </w:pPr>
      <w:rPr>
        <w:rFonts w:hint="default"/>
      </w:rPr>
    </w:lvl>
    <w:lvl w:ilvl="5" w:tplc="CB88C8FE">
      <w:numFmt w:val="bullet"/>
      <w:lvlText w:val="•"/>
      <w:lvlJc w:val="left"/>
      <w:pPr>
        <w:ind w:left="5556" w:hanging="226"/>
      </w:pPr>
      <w:rPr>
        <w:rFonts w:hint="default"/>
      </w:rPr>
    </w:lvl>
    <w:lvl w:ilvl="6" w:tplc="57446312">
      <w:numFmt w:val="bullet"/>
      <w:lvlText w:val="•"/>
      <w:lvlJc w:val="left"/>
      <w:pPr>
        <w:ind w:left="6603" w:hanging="226"/>
      </w:pPr>
      <w:rPr>
        <w:rFonts w:hint="default"/>
      </w:rPr>
    </w:lvl>
    <w:lvl w:ilvl="7" w:tplc="0CA69596">
      <w:numFmt w:val="bullet"/>
      <w:lvlText w:val="•"/>
      <w:lvlJc w:val="left"/>
      <w:pPr>
        <w:ind w:left="7651" w:hanging="226"/>
      </w:pPr>
      <w:rPr>
        <w:rFonts w:hint="default"/>
      </w:rPr>
    </w:lvl>
    <w:lvl w:ilvl="8" w:tplc="43B29126">
      <w:numFmt w:val="bullet"/>
      <w:lvlText w:val="•"/>
      <w:lvlJc w:val="left"/>
      <w:pPr>
        <w:ind w:left="8698" w:hanging="226"/>
      </w:pPr>
      <w:rPr>
        <w:rFonts w:hint="default"/>
      </w:rPr>
    </w:lvl>
  </w:abstractNum>
  <w:abstractNum w:abstractNumId="7">
    <w:nsid w:val="3D0A61B1"/>
    <w:multiLevelType w:val="hybridMultilevel"/>
    <w:tmpl w:val="03A2DA9E"/>
    <w:lvl w:ilvl="0" w:tplc="7C0A2F52">
      <w:numFmt w:val="bullet"/>
      <w:lvlText w:val=""/>
      <w:lvlJc w:val="left"/>
      <w:pPr>
        <w:ind w:left="339" w:hanging="226"/>
      </w:pPr>
      <w:rPr>
        <w:rFonts w:ascii="Symbol" w:eastAsia="Symbol" w:hAnsi="Symbol" w:cs="Symbol" w:hint="default"/>
        <w:b/>
        <w:bCs/>
        <w:w w:val="100"/>
        <w:sz w:val="22"/>
        <w:szCs w:val="22"/>
      </w:rPr>
    </w:lvl>
    <w:lvl w:ilvl="1" w:tplc="D9CAC224">
      <w:numFmt w:val="bullet"/>
      <w:lvlText w:val="•"/>
      <w:lvlJc w:val="left"/>
      <w:pPr>
        <w:ind w:left="1386" w:hanging="226"/>
      </w:pPr>
      <w:rPr>
        <w:rFonts w:hint="default"/>
      </w:rPr>
    </w:lvl>
    <w:lvl w:ilvl="2" w:tplc="76E00FC4">
      <w:numFmt w:val="bullet"/>
      <w:lvlText w:val="•"/>
      <w:lvlJc w:val="left"/>
      <w:pPr>
        <w:ind w:left="2432" w:hanging="226"/>
      </w:pPr>
      <w:rPr>
        <w:rFonts w:hint="default"/>
      </w:rPr>
    </w:lvl>
    <w:lvl w:ilvl="3" w:tplc="4D60CCDE">
      <w:numFmt w:val="bullet"/>
      <w:lvlText w:val="•"/>
      <w:lvlJc w:val="left"/>
      <w:pPr>
        <w:ind w:left="3478" w:hanging="226"/>
      </w:pPr>
      <w:rPr>
        <w:rFonts w:hint="default"/>
      </w:rPr>
    </w:lvl>
    <w:lvl w:ilvl="4" w:tplc="1E088040">
      <w:numFmt w:val="bullet"/>
      <w:lvlText w:val="•"/>
      <w:lvlJc w:val="left"/>
      <w:pPr>
        <w:ind w:left="4525" w:hanging="226"/>
      </w:pPr>
      <w:rPr>
        <w:rFonts w:hint="default"/>
      </w:rPr>
    </w:lvl>
    <w:lvl w:ilvl="5" w:tplc="93F003A4">
      <w:numFmt w:val="bullet"/>
      <w:lvlText w:val="•"/>
      <w:lvlJc w:val="left"/>
      <w:pPr>
        <w:ind w:left="5571" w:hanging="226"/>
      </w:pPr>
      <w:rPr>
        <w:rFonts w:hint="default"/>
      </w:rPr>
    </w:lvl>
    <w:lvl w:ilvl="6" w:tplc="F31AE5E4">
      <w:numFmt w:val="bullet"/>
      <w:lvlText w:val="•"/>
      <w:lvlJc w:val="left"/>
      <w:pPr>
        <w:ind w:left="6617" w:hanging="226"/>
      </w:pPr>
      <w:rPr>
        <w:rFonts w:hint="default"/>
      </w:rPr>
    </w:lvl>
    <w:lvl w:ilvl="7" w:tplc="DF80D2FA">
      <w:numFmt w:val="bullet"/>
      <w:lvlText w:val="•"/>
      <w:lvlJc w:val="left"/>
      <w:pPr>
        <w:ind w:left="7663" w:hanging="226"/>
      </w:pPr>
      <w:rPr>
        <w:rFonts w:hint="default"/>
      </w:rPr>
    </w:lvl>
    <w:lvl w:ilvl="8" w:tplc="59E41A34">
      <w:numFmt w:val="bullet"/>
      <w:lvlText w:val="•"/>
      <w:lvlJc w:val="left"/>
      <w:pPr>
        <w:ind w:left="8710" w:hanging="226"/>
      </w:pPr>
      <w:rPr>
        <w:rFonts w:hint="default"/>
      </w:rPr>
    </w:lvl>
  </w:abstractNum>
  <w:abstractNum w:abstractNumId="8">
    <w:nsid w:val="3E1A3529"/>
    <w:multiLevelType w:val="hybridMultilevel"/>
    <w:tmpl w:val="343C33EC"/>
    <w:lvl w:ilvl="0" w:tplc="3AF2E1F4">
      <w:numFmt w:val="bullet"/>
      <w:lvlText w:val=""/>
      <w:lvlJc w:val="left"/>
      <w:pPr>
        <w:ind w:left="315" w:hanging="226"/>
      </w:pPr>
      <w:rPr>
        <w:rFonts w:ascii="Symbol" w:eastAsia="Symbol" w:hAnsi="Symbol" w:cs="Symbol" w:hint="default"/>
        <w:b/>
        <w:bCs/>
        <w:w w:val="100"/>
        <w:sz w:val="22"/>
        <w:szCs w:val="22"/>
      </w:rPr>
    </w:lvl>
    <w:lvl w:ilvl="1" w:tplc="EA72BEF8">
      <w:numFmt w:val="bullet"/>
      <w:lvlText w:val="•"/>
      <w:lvlJc w:val="left"/>
      <w:pPr>
        <w:ind w:left="1368" w:hanging="226"/>
      </w:pPr>
      <w:rPr>
        <w:rFonts w:hint="default"/>
      </w:rPr>
    </w:lvl>
    <w:lvl w:ilvl="2" w:tplc="CFCA01A0">
      <w:numFmt w:val="bullet"/>
      <w:lvlText w:val="•"/>
      <w:lvlJc w:val="left"/>
      <w:pPr>
        <w:ind w:left="2416" w:hanging="226"/>
      </w:pPr>
      <w:rPr>
        <w:rFonts w:hint="default"/>
      </w:rPr>
    </w:lvl>
    <w:lvl w:ilvl="3" w:tplc="AEF8CADE">
      <w:numFmt w:val="bullet"/>
      <w:lvlText w:val="•"/>
      <w:lvlJc w:val="left"/>
      <w:pPr>
        <w:ind w:left="3464" w:hanging="226"/>
      </w:pPr>
      <w:rPr>
        <w:rFonts w:hint="default"/>
      </w:rPr>
    </w:lvl>
    <w:lvl w:ilvl="4" w:tplc="1E48F19C">
      <w:numFmt w:val="bullet"/>
      <w:lvlText w:val="•"/>
      <w:lvlJc w:val="left"/>
      <w:pPr>
        <w:ind w:left="4513" w:hanging="226"/>
      </w:pPr>
      <w:rPr>
        <w:rFonts w:hint="default"/>
      </w:rPr>
    </w:lvl>
    <w:lvl w:ilvl="5" w:tplc="8A16FF62">
      <w:numFmt w:val="bullet"/>
      <w:lvlText w:val="•"/>
      <w:lvlJc w:val="left"/>
      <w:pPr>
        <w:ind w:left="5561" w:hanging="226"/>
      </w:pPr>
      <w:rPr>
        <w:rFonts w:hint="default"/>
      </w:rPr>
    </w:lvl>
    <w:lvl w:ilvl="6" w:tplc="EC646A52">
      <w:numFmt w:val="bullet"/>
      <w:lvlText w:val="•"/>
      <w:lvlJc w:val="left"/>
      <w:pPr>
        <w:ind w:left="6609" w:hanging="226"/>
      </w:pPr>
      <w:rPr>
        <w:rFonts w:hint="default"/>
      </w:rPr>
    </w:lvl>
    <w:lvl w:ilvl="7" w:tplc="61E0340E">
      <w:numFmt w:val="bullet"/>
      <w:lvlText w:val="•"/>
      <w:lvlJc w:val="left"/>
      <w:pPr>
        <w:ind w:left="7657" w:hanging="226"/>
      </w:pPr>
      <w:rPr>
        <w:rFonts w:hint="default"/>
      </w:rPr>
    </w:lvl>
    <w:lvl w:ilvl="8" w:tplc="56CAE976">
      <w:numFmt w:val="bullet"/>
      <w:lvlText w:val="•"/>
      <w:lvlJc w:val="left"/>
      <w:pPr>
        <w:ind w:left="8706" w:hanging="226"/>
      </w:pPr>
      <w:rPr>
        <w:rFonts w:hint="default"/>
      </w:rPr>
    </w:lvl>
  </w:abstractNum>
  <w:abstractNum w:abstractNumId="9">
    <w:nsid w:val="4CC0243B"/>
    <w:multiLevelType w:val="hybridMultilevel"/>
    <w:tmpl w:val="4490A7E0"/>
    <w:lvl w:ilvl="0" w:tplc="BEFEA550">
      <w:numFmt w:val="bullet"/>
      <w:lvlText w:val=""/>
      <w:lvlJc w:val="left"/>
      <w:pPr>
        <w:ind w:left="339" w:hanging="226"/>
      </w:pPr>
      <w:rPr>
        <w:rFonts w:ascii="Symbol" w:eastAsia="Symbol" w:hAnsi="Symbol" w:cs="Symbol" w:hint="default"/>
        <w:b/>
        <w:bCs/>
        <w:w w:val="100"/>
        <w:sz w:val="22"/>
        <w:szCs w:val="22"/>
      </w:rPr>
    </w:lvl>
    <w:lvl w:ilvl="1" w:tplc="9478541C">
      <w:numFmt w:val="bullet"/>
      <w:lvlText w:val="•"/>
      <w:lvlJc w:val="left"/>
      <w:pPr>
        <w:ind w:left="1386" w:hanging="226"/>
      </w:pPr>
      <w:rPr>
        <w:rFonts w:hint="default"/>
      </w:rPr>
    </w:lvl>
    <w:lvl w:ilvl="2" w:tplc="507CF478">
      <w:numFmt w:val="bullet"/>
      <w:lvlText w:val="•"/>
      <w:lvlJc w:val="left"/>
      <w:pPr>
        <w:ind w:left="2432" w:hanging="226"/>
      </w:pPr>
      <w:rPr>
        <w:rFonts w:hint="default"/>
      </w:rPr>
    </w:lvl>
    <w:lvl w:ilvl="3" w:tplc="4508A2DA">
      <w:numFmt w:val="bullet"/>
      <w:lvlText w:val="•"/>
      <w:lvlJc w:val="left"/>
      <w:pPr>
        <w:ind w:left="3478" w:hanging="226"/>
      </w:pPr>
      <w:rPr>
        <w:rFonts w:hint="default"/>
      </w:rPr>
    </w:lvl>
    <w:lvl w:ilvl="4" w:tplc="0AB4EA44">
      <w:numFmt w:val="bullet"/>
      <w:lvlText w:val="•"/>
      <w:lvlJc w:val="left"/>
      <w:pPr>
        <w:ind w:left="4525" w:hanging="226"/>
      </w:pPr>
      <w:rPr>
        <w:rFonts w:hint="default"/>
      </w:rPr>
    </w:lvl>
    <w:lvl w:ilvl="5" w:tplc="E876954C">
      <w:numFmt w:val="bullet"/>
      <w:lvlText w:val="•"/>
      <w:lvlJc w:val="left"/>
      <w:pPr>
        <w:ind w:left="5571" w:hanging="226"/>
      </w:pPr>
      <w:rPr>
        <w:rFonts w:hint="default"/>
      </w:rPr>
    </w:lvl>
    <w:lvl w:ilvl="6" w:tplc="FE0494B6">
      <w:numFmt w:val="bullet"/>
      <w:lvlText w:val="•"/>
      <w:lvlJc w:val="left"/>
      <w:pPr>
        <w:ind w:left="6617" w:hanging="226"/>
      </w:pPr>
      <w:rPr>
        <w:rFonts w:hint="default"/>
      </w:rPr>
    </w:lvl>
    <w:lvl w:ilvl="7" w:tplc="A428FD98">
      <w:numFmt w:val="bullet"/>
      <w:lvlText w:val="•"/>
      <w:lvlJc w:val="left"/>
      <w:pPr>
        <w:ind w:left="7663" w:hanging="226"/>
      </w:pPr>
      <w:rPr>
        <w:rFonts w:hint="default"/>
      </w:rPr>
    </w:lvl>
    <w:lvl w:ilvl="8" w:tplc="7EEEE298">
      <w:numFmt w:val="bullet"/>
      <w:lvlText w:val="•"/>
      <w:lvlJc w:val="left"/>
      <w:pPr>
        <w:ind w:left="8710" w:hanging="226"/>
      </w:pPr>
      <w:rPr>
        <w:rFonts w:hint="default"/>
      </w:rPr>
    </w:lvl>
  </w:abstractNum>
  <w:abstractNum w:abstractNumId="10">
    <w:nsid w:val="5165665D"/>
    <w:multiLevelType w:val="hybridMultilevel"/>
    <w:tmpl w:val="8E222AC0"/>
    <w:lvl w:ilvl="0" w:tplc="7788109A">
      <w:numFmt w:val="bullet"/>
      <w:lvlText w:val=""/>
      <w:lvlJc w:val="left"/>
      <w:pPr>
        <w:ind w:left="339" w:hanging="226"/>
      </w:pPr>
      <w:rPr>
        <w:rFonts w:ascii="Symbol" w:eastAsia="Symbol" w:hAnsi="Symbol" w:cs="Symbol" w:hint="default"/>
        <w:b/>
        <w:bCs/>
        <w:w w:val="100"/>
        <w:sz w:val="22"/>
        <w:szCs w:val="22"/>
      </w:rPr>
    </w:lvl>
    <w:lvl w:ilvl="1" w:tplc="58C4C628">
      <w:numFmt w:val="bullet"/>
      <w:lvlText w:val="•"/>
      <w:lvlJc w:val="left"/>
      <w:pPr>
        <w:ind w:left="1386" w:hanging="226"/>
      </w:pPr>
      <w:rPr>
        <w:rFonts w:hint="default"/>
      </w:rPr>
    </w:lvl>
    <w:lvl w:ilvl="2" w:tplc="8F74B908">
      <w:numFmt w:val="bullet"/>
      <w:lvlText w:val="•"/>
      <w:lvlJc w:val="left"/>
      <w:pPr>
        <w:ind w:left="2432" w:hanging="226"/>
      </w:pPr>
      <w:rPr>
        <w:rFonts w:hint="default"/>
      </w:rPr>
    </w:lvl>
    <w:lvl w:ilvl="3" w:tplc="0332F3C4">
      <w:numFmt w:val="bullet"/>
      <w:lvlText w:val="•"/>
      <w:lvlJc w:val="left"/>
      <w:pPr>
        <w:ind w:left="3478" w:hanging="226"/>
      </w:pPr>
      <w:rPr>
        <w:rFonts w:hint="default"/>
      </w:rPr>
    </w:lvl>
    <w:lvl w:ilvl="4" w:tplc="4E4295A4">
      <w:numFmt w:val="bullet"/>
      <w:lvlText w:val="•"/>
      <w:lvlJc w:val="left"/>
      <w:pPr>
        <w:ind w:left="4525" w:hanging="226"/>
      </w:pPr>
      <w:rPr>
        <w:rFonts w:hint="default"/>
      </w:rPr>
    </w:lvl>
    <w:lvl w:ilvl="5" w:tplc="3CC82EF4">
      <w:numFmt w:val="bullet"/>
      <w:lvlText w:val="•"/>
      <w:lvlJc w:val="left"/>
      <w:pPr>
        <w:ind w:left="5571" w:hanging="226"/>
      </w:pPr>
      <w:rPr>
        <w:rFonts w:hint="default"/>
      </w:rPr>
    </w:lvl>
    <w:lvl w:ilvl="6" w:tplc="CF801460">
      <w:numFmt w:val="bullet"/>
      <w:lvlText w:val="•"/>
      <w:lvlJc w:val="left"/>
      <w:pPr>
        <w:ind w:left="6617" w:hanging="226"/>
      </w:pPr>
      <w:rPr>
        <w:rFonts w:hint="default"/>
      </w:rPr>
    </w:lvl>
    <w:lvl w:ilvl="7" w:tplc="ED4882BA">
      <w:numFmt w:val="bullet"/>
      <w:lvlText w:val="•"/>
      <w:lvlJc w:val="left"/>
      <w:pPr>
        <w:ind w:left="7663" w:hanging="226"/>
      </w:pPr>
      <w:rPr>
        <w:rFonts w:hint="default"/>
      </w:rPr>
    </w:lvl>
    <w:lvl w:ilvl="8" w:tplc="865E55FE">
      <w:numFmt w:val="bullet"/>
      <w:lvlText w:val="•"/>
      <w:lvlJc w:val="left"/>
      <w:pPr>
        <w:ind w:left="8710" w:hanging="226"/>
      </w:pPr>
      <w:rPr>
        <w:rFonts w:hint="default"/>
      </w:rPr>
    </w:lvl>
  </w:abstractNum>
  <w:abstractNum w:abstractNumId="11">
    <w:nsid w:val="5DE019E9"/>
    <w:multiLevelType w:val="hybridMultilevel"/>
    <w:tmpl w:val="842C089E"/>
    <w:lvl w:ilvl="0" w:tplc="D25A86BA">
      <w:numFmt w:val="bullet"/>
      <w:lvlText w:val=""/>
      <w:lvlJc w:val="left"/>
      <w:pPr>
        <w:ind w:left="354" w:hanging="240"/>
      </w:pPr>
      <w:rPr>
        <w:rFonts w:ascii="Symbol" w:eastAsia="Symbol" w:hAnsi="Symbol" w:cs="Symbol" w:hint="default"/>
        <w:w w:val="100"/>
        <w:sz w:val="22"/>
        <w:szCs w:val="22"/>
      </w:rPr>
    </w:lvl>
    <w:lvl w:ilvl="1" w:tplc="EECA69F8">
      <w:numFmt w:val="bullet"/>
      <w:lvlText w:val="•"/>
      <w:lvlJc w:val="left"/>
      <w:pPr>
        <w:ind w:left="1404" w:hanging="240"/>
      </w:pPr>
      <w:rPr>
        <w:rFonts w:hint="default"/>
      </w:rPr>
    </w:lvl>
    <w:lvl w:ilvl="2" w:tplc="B5DA0968">
      <w:numFmt w:val="bullet"/>
      <w:lvlText w:val="•"/>
      <w:lvlJc w:val="left"/>
      <w:pPr>
        <w:ind w:left="2448" w:hanging="240"/>
      </w:pPr>
      <w:rPr>
        <w:rFonts w:hint="default"/>
      </w:rPr>
    </w:lvl>
    <w:lvl w:ilvl="3" w:tplc="4DD44EB0">
      <w:numFmt w:val="bullet"/>
      <w:lvlText w:val="•"/>
      <w:lvlJc w:val="left"/>
      <w:pPr>
        <w:ind w:left="3492" w:hanging="240"/>
      </w:pPr>
      <w:rPr>
        <w:rFonts w:hint="default"/>
      </w:rPr>
    </w:lvl>
    <w:lvl w:ilvl="4" w:tplc="2C2AD054">
      <w:numFmt w:val="bullet"/>
      <w:lvlText w:val="•"/>
      <w:lvlJc w:val="left"/>
      <w:pPr>
        <w:ind w:left="4537" w:hanging="240"/>
      </w:pPr>
      <w:rPr>
        <w:rFonts w:hint="default"/>
      </w:rPr>
    </w:lvl>
    <w:lvl w:ilvl="5" w:tplc="BE9040BE">
      <w:numFmt w:val="bullet"/>
      <w:lvlText w:val="•"/>
      <w:lvlJc w:val="left"/>
      <w:pPr>
        <w:ind w:left="5581" w:hanging="240"/>
      </w:pPr>
      <w:rPr>
        <w:rFonts w:hint="default"/>
      </w:rPr>
    </w:lvl>
    <w:lvl w:ilvl="6" w:tplc="17FEB150">
      <w:numFmt w:val="bullet"/>
      <w:lvlText w:val="•"/>
      <w:lvlJc w:val="left"/>
      <w:pPr>
        <w:ind w:left="6625" w:hanging="240"/>
      </w:pPr>
      <w:rPr>
        <w:rFonts w:hint="default"/>
      </w:rPr>
    </w:lvl>
    <w:lvl w:ilvl="7" w:tplc="F8D0EC38">
      <w:numFmt w:val="bullet"/>
      <w:lvlText w:val="•"/>
      <w:lvlJc w:val="left"/>
      <w:pPr>
        <w:ind w:left="7669" w:hanging="240"/>
      </w:pPr>
      <w:rPr>
        <w:rFonts w:hint="default"/>
      </w:rPr>
    </w:lvl>
    <w:lvl w:ilvl="8" w:tplc="B5949DF4">
      <w:numFmt w:val="bullet"/>
      <w:lvlText w:val="•"/>
      <w:lvlJc w:val="left"/>
      <w:pPr>
        <w:ind w:left="8714" w:hanging="240"/>
      </w:pPr>
      <w:rPr>
        <w:rFonts w:hint="default"/>
      </w:rPr>
    </w:lvl>
  </w:abstractNum>
  <w:abstractNum w:abstractNumId="12">
    <w:nsid w:val="69B059A0"/>
    <w:multiLevelType w:val="hybridMultilevel"/>
    <w:tmpl w:val="2B388DA8"/>
    <w:lvl w:ilvl="0" w:tplc="0F522DD0">
      <w:numFmt w:val="bullet"/>
      <w:lvlText w:val=""/>
      <w:lvlJc w:val="left"/>
      <w:pPr>
        <w:ind w:left="328" w:hanging="226"/>
      </w:pPr>
      <w:rPr>
        <w:rFonts w:ascii="Symbol" w:eastAsia="Symbol" w:hAnsi="Symbol" w:cs="Symbol" w:hint="default"/>
        <w:b/>
        <w:bCs/>
        <w:w w:val="100"/>
        <w:sz w:val="22"/>
        <w:szCs w:val="22"/>
      </w:rPr>
    </w:lvl>
    <w:lvl w:ilvl="1" w:tplc="0E16AD88">
      <w:numFmt w:val="bullet"/>
      <w:lvlText w:val="•"/>
      <w:lvlJc w:val="left"/>
      <w:pPr>
        <w:ind w:left="1367" w:hanging="226"/>
      </w:pPr>
      <w:rPr>
        <w:rFonts w:hint="default"/>
      </w:rPr>
    </w:lvl>
    <w:lvl w:ilvl="2" w:tplc="E9866392">
      <w:numFmt w:val="bullet"/>
      <w:lvlText w:val="•"/>
      <w:lvlJc w:val="left"/>
      <w:pPr>
        <w:ind w:left="2414" w:hanging="226"/>
      </w:pPr>
      <w:rPr>
        <w:rFonts w:hint="default"/>
      </w:rPr>
    </w:lvl>
    <w:lvl w:ilvl="3" w:tplc="450A0BE6">
      <w:numFmt w:val="bullet"/>
      <w:lvlText w:val="•"/>
      <w:lvlJc w:val="left"/>
      <w:pPr>
        <w:ind w:left="3461" w:hanging="226"/>
      </w:pPr>
      <w:rPr>
        <w:rFonts w:hint="default"/>
      </w:rPr>
    </w:lvl>
    <w:lvl w:ilvl="4" w:tplc="D214D84E">
      <w:numFmt w:val="bullet"/>
      <w:lvlText w:val="•"/>
      <w:lvlJc w:val="left"/>
      <w:pPr>
        <w:ind w:left="4509" w:hanging="226"/>
      </w:pPr>
      <w:rPr>
        <w:rFonts w:hint="default"/>
      </w:rPr>
    </w:lvl>
    <w:lvl w:ilvl="5" w:tplc="EBF0DEAE">
      <w:numFmt w:val="bullet"/>
      <w:lvlText w:val="•"/>
      <w:lvlJc w:val="left"/>
      <w:pPr>
        <w:ind w:left="5556" w:hanging="226"/>
      </w:pPr>
      <w:rPr>
        <w:rFonts w:hint="default"/>
      </w:rPr>
    </w:lvl>
    <w:lvl w:ilvl="6" w:tplc="3E86F5F4">
      <w:numFmt w:val="bullet"/>
      <w:lvlText w:val="•"/>
      <w:lvlJc w:val="left"/>
      <w:pPr>
        <w:ind w:left="6603" w:hanging="226"/>
      </w:pPr>
      <w:rPr>
        <w:rFonts w:hint="default"/>
      </w:rPr>
    </w:lvl>
    <w:lvl w:ilvl="7" w:tplc="33F0F8CE">
      <w:numFmt w:val="bullet"/>
      <w:lvlText w:val="•"/>
      <w:lvlJc w:val="left"/>
      <w:pPr>
        <w:ind w:left="7651" w:hanging="226"/>
      </w:pPr>
      <w:rPr>
        <w:rFonts w:hint="default"/>
      </w:rPr>
    </w:lvl>
    <w:lvl w:ilvl="8" w:tplc="976A2C46">
      <w:numFmt w:val="bullet"/>
      <w:lvlText w:val="•"/>
      <w:lvlJc w:val="left"/>
      <w:pPr>
        <w:ind w:left="8698" w:hanging="226"/>
      </w:pPr>
      <w:rPr>
        <w:rFonts w:hint="default"/>
      </w:rPr>
    </w:lvl>
  </w:abstractNum>
  <w:abstractNum w:abstractNumId="13">
    <w:nsid w:val="74407F12"/>
    <w:multiLevelType w:val="hybridMultilevel"/>
    <w:tmpl w:val="66B25248"/>
    <w:lvl w:ilvl="0" w:tplc="23361700">
      <w:numFmt w:val="bullet"/>
      <w:lvlText w:val=""/>
      <w:lvlJc w:val="left"/>
      <w:pPr>
        <w:ind w:left="103" w:hanging="226"/>
      </w:pPr>
      <w:rPr>
        <w:rFonts w:ascii="Symbol" w:eastAsia="Symbol" w:hAnsi="Symbol" w:cs="Symbol" w:hint="default"/>
        <w:b/>
        <w:bCs/>
        <w:w w:val="100"/>
        <w:sz w:val="22"/>
        <w:szCs w:val="22"/>
      </w:rPr>
    </w:lvl>
    <w:lvl w:ilvl="1" w:tplc="9C24836E">
      <w:numFmt w:val="bullet"/>
      <w:lvlText w:val="•"/>
      <w:lvlJc w:val="left"/>
      <w:pPr>
        <w:ind w:left="1169" w:hanging="226"/>
      </w:pPr>
      <w:rPr>
        <w:rFonts w:hint="default"/>
      </w:rPr>
    </w:lvl>
    <w:lvl w:ilvl="2" w:tplc="ACDE6930">
      <w:numFmt w:val="bullet"/>
      <w:lvlText w:val="•"/>
      <w:lvlJc w:val="left"/>
      <w:pPr>
        <w:ind w:left="2238" w:hanging="226"/>
      </w:pPr>
      <w:rPr>
        <w:rFonts w:hint="default"/>
      </w:rPr>
    </w:lvl>
    <w:lvl w:ilvl="3" w:tplc="DEE0C442">
      <w:numFmt w:val="bullet"/>
      <w:lvlText w:val="•"/>
      <w:lvlJc w:val="left"/>
      <w:pPr>
        <w:ind w:left="3307" w:hanging="226"/>
      </w:pPr>
      <w:rPr>
        <w:rFonts w:hint="default"/>
      </w:rPr>
    </w:lvl>
    <w:lvl w:ilvl="4" w:tplc="8938CCE4">
      <w:numFmt w:val="bullet"/>
      <w:lvlText w:val="•"/>
      <w:lvlJc w:val="left"/>
      <w:pPr>
        <w:ind w:left="4376" w:hanging="226"/>
      </w:pPr>
      <w:rPr>
        <w:rFonts w:hint="default"/>
      </w:rPr>
    </w:lvl>
    <w:lvl w:ilvl="5" w:tplc="E5BCFFB2">
      <w:numFmt w:val="bullet"/>
      <w:lvlText w:val="•"/>
      <w:lvlJc w:val="left"/>
      <w:pPr>
        <w:ind w:left="5446" w:hanging="226"/>
      </w:pPr>
      <w:rPr>
        <w:rFonts w:hint="default"/>
      </w:rPr>
    </w:lvl>
    <w:lvl w:ilvl="6" w:tplc="08249ACC">
      <w:numFmt w:val="bullet"/>
      <w:lvlText w:val="•"/>
      <w:lvlJc w:val="left"/>
      <w:pPr>
        <w:ind w:left="6515" w:hanging="226"/>
      </w:pPr>
      <w:rPr>
        <w:rFonts w:hint="default"/>
      </w:rPr>
    </w:lvl>
    <w:lvl w:ilvl="7" w:tplc="141E3E8A">
      <w:numFmt w:val="bullet"/>
      <w:lvlText w:val="•"/>
      <w:lvlJc w:val="left"/>
      <w:pPr>
        <w:ind w:left="7584" w:hanging="226"/>
      </w:pPr>
      <w:rPr>
        <w:rFonts w:hint="default"/>
      </w:rPr>
    </w:lvl>
    <w:lvl w:ilvl="8" w:tplc="B0C4BA60">
      <w:numFmt w:val="bullet"/>
      <w:lvlText w:val="•"/>
      <w:lvlJc w:val="left"/>
      <w:pPr>
        <w:ind w:left="8653" w:hanging="226"/>
      </w:pPr>
      <w:rPr>
        <w:rFonts w:hint="default"/>
      </w:rPr>
    </w:lvl>
  </w:abstractNum>
  <w:abstractNum w:abstractNumId="14">
    <w:nsid w:val="78CF7E5A"/>
    <w:multiLevelType w:val="hybridMultilevel"/>
    <w:tmpl w:val="1E3424D2"/>
    <w:lvl w:ilvl="0" w:tplc="D736BE72">
      <w:numFmt w:val="bullet"/>
      <w:lvlText w:val=""/>
      <w:lvlJc w:val="left"/>
      <w:pPr>
        <w:ind w:left="328" w:hanging="226"/>
      </w:pPr>
      <w:rPr>
        <w:rFonts w:ascii="Symbol" w:eastAsia="Symbol" w:hAnsi="Symbol" w:cs="Symbol" w:hint="default"/>
        <w:b/>
        <w:bCs/>
        <w:w w:val="100"/>
        <w:sz w:val="22"/>
        <w:szCs w:val="22"/>
      </w:rPr>
    </w:lvl>
    <w:lvl w:ilvl="1" w:tplc="A0AC5508">
      <w:numFmt w:val="bullet"/>
      <w:lvlText w:val="•"/>
      <w:lvlJc w:val="left"/>
      <w:pPr>
        <w:ind w:left="1367" w:hanging="226"/>
      </w:pPr>
      <w:rPr>
        <w:rFonts w:hint="default"/>
      </w:rPr>
    </w:lvl>
    <w:lvl w:ilvl="2" w:tplc="AE628826">
      <w:numFmt w:val="bullet"/>
      <w:lvlText w:val="•"/>
      <w:lvlJc w:val="left"/>
      <w:pPr>
        <w:ind w:left="2414" w:hanging="226"/>
      </w:pPr>
      <w:rPr>
        <w:rFonts w:hint="default"/>
      </w:rPr>
    </w:lvl>
    <w:lvl w:ilvl="3" w:tplc="A32C6AA2">
      <w:numFmt w:val="bullet"/>
      <w:lvlText w:val="•"/>
      <w:lvlJc w:val="left"/>
      <w:pPr>
        <w:ind w:left="3461" w:hanging="226"/>
      </w:pPr>
      <w:rPr>
        <w:rFonts w:hint="default"/>
      </w:rPr>
    </w:lvl>
    <w:lvl w:ilvl="4" w:tplc="4590FB0A">
      <w:numFmt w:val="bullet"/>
      <w:lvlText w:val="•"/>
      <w:lvlJc w:val="left"/>
      <w:pPr>
        <w:ind w:left="4509" w:hanging="226"/>
      </w:pPr>
      <w:rPr>
        <w:rFonts w:hint="default"/>
      </w:rPr>
    </w:lvl>
    <w:lvl w:ilvl="5" w:tplc="4CBC506C">
      <w:numFmt w:val="bullet"/>
      <w:lvlText w:val="•"/>
      <w:lvlJc w:val="left"/>
      <w:pPr>
        <w:ind w:left="5556" w:hanging="226"/>
      </w:pPr>
      <w:rPr>
        <w:rFonts w:hint="default"/>
      </w:rPr>
    </w:lvl>
    <w:lvl w:ilvl="6" w:tplc="C74AD4EC">
      <w:numFmt w:val="bullet"/>
      <w:lvlText w:val="•"/>
      <w:lvlJc w:val="left"/>
      <w:pPr>
        <w:ind w:left="6603" w:hanging="226"/>
      </w:pPr>
      <w:rPr>
        <w:rFonts w:hint="default"/>
      </w:rPr>
    </w:lvl>
    <w:lvl w:ilvl="7" w:tplc="053E6F68">
      <w:numFmt w:val="bullet"/>
      <w:lvlText w:val="•"/>
      <w:lvlJc w:val="left"/>
      <w:pPr>
        <w:ind w:left="7651" w:hanging="226"/>
      </w:pPr>
      <w:rPr>
        <w:rFonts w:hint="default"/>
      </w:rPr>
    </w:lvl>
    <w:lvl w:ilvl="8" w:tplc="56D8015A">
      <w:numFmt w:val="bullet"/>
      <w:lvlText w:val="•"/>
      <w:lvlJc w:val="left"/>
      <w:pPr>
        <w:ind w:left="8698" w:hanging="226"/>
      </w:pPr>
      <w:rPr>
        <w:rFonts w:hint="default"/>
      </w:rPr>
    </w:lvl>
  </w:abstractNum>
  <w:abstractNum w:abstractNumId="15">
    <w:nsid w:val="79451F2C"/>
    <w:multiLevelType w:val="hybridMultilevel"/>
    <w:tmpl w:val="2D964B4C"/>
    <w:lvl w:ilvl="0" w:tplc="33DAA6F8">
      <w:numFmt w:val="bullet"/>
      <w:lvlText w:val=""/>
      <w:lvlJc w:val="left"/>
      <w:pPr>
        <w:ind w:left="339" w:hanging="226"/>
      </w:pPr>
      <w:rPr>
        <w:rFonts w:ascii="Symbol" w:eastAsia="Symbol" w:hAnsi="Symbol" w:cs="Symbol" w:hint="default"/>
        <w:b/>
        <w:bCs/>
        <w:w w:val="100"/>
        <w:sz w:val="22"/>
        <w:szCs w:val="22"/>
      </w:rPr>
    </w:lvl>
    <w:lvl w:ilvl="1" w:tplc="E716BB9E">
      <w:numFmt w:val="bullet"/>
      <w:lvlText w:val="•"/>
      <w:lvlJc w:val="left"/>
      <w:pPr>
        <w:ind w:left="1386" w:hanging="226"/>
      </w:pPr>
      <w:rPr>
        <w:rFonts w:hint="default"/>
      </w:rPr>
    </w:lvl>
    <w:lvl w:ilvl="2" w:tplc="176E3038">
      <w:numFmt w:val="bullet"/>
      <w:lvlText w:val="•"/>
      <w:lvlJc w:val="left"/>
      <w:pPr>
        <w:ind w:left="2432" w:hanging="226"/>
      </w:pPr>
      <w:rPr>
        <w:rFonts w:hint="default"/>
      </w:rPr>
    </w:lvl>
    <w:lvl w:ilvl="3" w:tplc="4CD2AB7C">
      <w:numFmt w:val="bullet"/>
      <w:lvlText w:val="•"/>
      <w:lvlJc w:val="left"/>
      <w:pPr>
        <w:ind w:left="3478" w:hanging="226"/>
      </w:pPr>
      <w:rPr>
        <w:rFonts w:hint="default"/>
      </w:rPr>
    </w:lvl>
    <w:lvl w:ilvl="4" w:tplc="669CF2E2">
      <w:numFmt w:val="bullet"/>
      <w:lvlText w:val="•"/>
      <w:lvlJc w:val="left"/>
      <w:pPr>
        <w:ind w:left="4525" w:hanging="226"/>
      </w:pPr>
      <w:rPr>
        <w:rFonts w:hint="default"/>
      </w:rPr>
    </w:lvl>
    <w:lvl w:ilvl="5" w:tplc="4CC81518">
      <w:numFmt w:val="bullet"/>
      <w:lvlText w:val="•"/>
      <w:lvlJc w:val="left"/>
      <w:pPr>
        <w:ind w:left="5571" w:hanging="226"/>
      </w:pPr>
      <w:rPr>
        <w:rFonts w:hint="default"/>
      </w:rPr>
    </w:lvl>
    <w:lvl w:ilvl="6" w:tplc="A0264F44">
      <w:numFmt w:val="bullet"/>
      <w:lvlText w:val="•"/>
      <w:lvlJc w:val="left"/>
      <w:pPr>
        <w:ind w:left="6617" w:hanging="226"/>
      </w:pPr>
      <w:rPr>
        <w:rFonts w:hint="default"/>
      </w:rPr>
    </w:lvl>
    <w:lvl w:ilvl="7" w:tplc="5CF80E3A">
      <w:numFmt w:val="bullet"/>
      <w:lvlText w:val="•"/>
      <w:lvlJc w:val="left"/>
      <w:pPr>
        <w:ind w:left="7663" w:hanging="226"/>
      </w:pPr>
      <w:rPr>
        <w:rFonts w:hint="default"/>
      </w:rPr>
    </w:lvl>
    <w:lvl w:ilvl="8" w:tplc="199CDA9E">
      <w:numFmt w:val="bullet"/>
      <w:lvlText w:val="•"/>
      <w:lvlJc w:val="left"/>
      <w:pPr>
        <w:ind w:left="8710" w:hanging="226"/>
      </w:pPr>
      <w:rPr>
        <w:rFonts w:hint="default"/>
      </w:rPr>
    </w:lvl>
  </w:abstractNum>
  <w:abstractNum w:abstractNumId="16">
    <w:nsid w:val="7B8F7905"/>
    <w:multiLevelType w:val="hybridMultilevel"/>
    <w:tmpl w:val="2A601886"/>
    <w:lvl w:ilvl="0" w:tplc="39B0705E">
      <w:numFmt w:val="bullet"/>
      <w:lvlText w:val=""/>
      <w:lvlJc w:val="left"/>
      <w:pPr>
        <w:ind w:left="100" w:hanging="226"/>
      </w:pPr>
      <w:rPr>
        <w:rFonts w:ascii="Symbol" w:eastAsia="Symbol" w:hAnsi="Symbol" w:cs="Symbol" w:hint="default"/>
        <w:b/>
        <w:bCs/>
        <w:w w:val="100"/>
        <w:sz w:val="22"/>
        <w:szCs w:val="22"/>
      </w:rPr>
    </w:lvl>
    <w:lvl w:ilvl="1" w:tplc="2A824150">
      <w:numFmt w:val="bullet"/>
      <w:lvlText w:val="•"/>
      <w:lvlJc w:val="left"/>
      <w:pPr>
        <w:ind w:left="1171" w:hanging="226"/>
      </w:pPr>
      <w:rPr>
        <w:rFonts w:hint="default"/>
      </w:rPr>
    </w:lvl>
    <w:lvl w:ilvl="2" w:tplc="25B8778C">
      <w:numFmt w:val="bullet"/>
      <w:lvlText w:val="•"/>
      <w:lvlJc w:val="left"/>
      <w:pPr>
        <w:ind w:left="2242" w:hanging="226"/>
      </w:pPr>
      <w:rPr>
        <w:rFonts w:hint="default"/>
      </w:rPr>
    </w:lvl>
    <w:lvl w:ilvl="3" w:tplc="909405A6">
      <w:numFmt w:val="bullet"/>
      <w:lvlText w:val="•"/>
      <w:lvlJc w:val="left"/>
      <w:pPr>
        <w:ind w:left="3314" w:hanging="226"/>
      </w:pPr>
      <w:rPr>
        <w:rFonts w:hint="default"/>
      </w:rPr>
    </w:lvl>
    <w:lvl w:ilvl="4" w:tplc="06B6DF1E">
      <w:numFmt w:val="bullet"/>
      <w:lvlText w:val="•"/>
      <w:lvlJc w:val="left"/>
      <w:pPr>
        <w:ind w:left="4385" w:hanging="226"/>
      </w:pPr>
      <w:rPr>
        <w:rFonts w:hint="default"/>
      </w:rPr>
    </w:lvl>
    <w:lvl w:ilvl="5" w:tplc="29E479D0">
      <w:numFmt w:val="bullet"/>
      <w:lvlText w:val="•"/>
      <w:lvlJc w:val="left"/>
      <w:pPr>
        <w:ind w:left="5456" w:hanging="226"/>
      </w:pPr>
      <w:rPr>
        <w:rFonts w:hint="default"/>
      </w:rPr>
    </w:lvl>
    <w:lvl w:ilvl="6" w:tplc="A56EF03C">
      <w:numFmt w:val="bullet"/>
      <w:lvlText w:val="•"/>
      <w:lvlJc w:val="left"/>
      <w:pPr>
        <w:ind w:left="6528" w:hanging="226"/>
      </w:pPr>
      <w:rPr>
        <w:rFonts w:hint="default"/>
      </w:rPr>
    </w:lvl>
    <w:lvl w:ilvl="7" w:tplc="D8466DC0">
      <w:numFmt w:val="bullet"/>
      <w:lvlText w:val="•"/>
      <w:lvlJc w:val="left"/>
      <w:pPr>
        <w:ind w:left="7599" w:hanging="226"/>
      </w:pPr>
      <w:rPr>
        <w:rFonts w:hint="default"/>
      </w:rPr>
    </w:lvl>
    <w:lvl w:ilvl="8" w:tplc="C0BA2946">
      <w:numFmt w:val="bullet"/>
      <w:lvlText w:val="•"/>
      <w:lvlJc w:val="left"/>
      <w:pPr>
        <w:ind w:left="8670" w:hanging="226"/>
      </w:pPr>
      <w:rPr>
        <w:rFonts w:hint="default"/>
      </w:rPr>
    </w:lvl>
  </w:abstractNum>
  <w:abstractNum w:abstractNumId="17">
    <w:nsid w:val="7EA374E8"/>
    <w:multiLevelType w:val="hybridMultilevel"/>
    <w:tmpl w:val="4DD8EADE"/>
    <w:lvl w:ilvl="0" w:tplc="DA6AB784">
      <w:numFmt w:val="bullet"/>
      <w:lvlText w:val=""/>
      <w:lvlJc w:val="left"/>
      <w:pPr>
        <w:ind w:left="328" w:hanging="226"/>
      </w:pPr>
      <w:rPr>
        <w:rFonts w:ascii="Symbol" w:eastAsia="Symbol" w:hAnsi="Symbol" w:cs="Symbol" w:hint="default"/>
        <w:b/>
        <w:bCs/>
        <w:w w:val="100"/>
        <w:sz w:val="22"/>
        <w:szCs w:val="22"/>
      </w:rPr>
    </w:lvl>
    <w:lvl w:ilvl="1" w:tplc="F2449E6A">
      <w:numFmt w:val="bullet"/>
      <w:lvlText w:val="•"/>
      <w:lvlJc w:val="left"/>
      <w:pPr>
        <w:ind w:left="1367" w:hanging="226"/>
      </w:pPr>
      <w:rPr>
        <w:rFonts w:hint="default"/>
      </w:rPr>
    </w:lvl>
    <w:lvl w:ilvl="2" w:tplc="CF209F54">
      <w:numFmt w:val="bullet"/>
      <w:lvlText w:val="•"/>
      <w:lvlJc w:val="left"/>
      <w:pPr>
        <w:ind w:left="2414" w:hanging="226"/>
      </w:pPr>
      <w:rPr>
        <w:rFonts w:hint="default"/>
      </w:rPr>
    </w:lvl>
    <w:lvl w:ilvl="3" w:tplc="0AE689D6">
      <w:numFmt w:val="bullet"/>
      <w:lvlText w:val="•"/>
      <w:lvlJc w:val="left"/>
      <w:pPr>
        <w:ind w:left="3461" w:hanging="226"/>
      </w:pPr>
      <w:rPr>
        <w:rFonts w:hint="default"/>
      </w:rPr>
    </w:lvl>
    <w:lvl w:ilvl="4" w:tplc="7440251A">
      <w:numFmt w:val="bullet"/>
      <w:lvlText w:val="•"/>
      <w:lvlJc w:val="left"/>
      <w:pPr>
        <w:ind w:left="4509" w:hanging="226"/>
      </w:pPr>
      <w:rPr>
        <w:rFonts w:hint="default"/>
      </w:rPr>
    </w:lvl>
    <w:lvl w:ilvl="5" w:tplc="99F25764">
      <w:numFmt w:val="bullet"/>
      <w:lvlText w:val="•"/>
      <w:lvlJc w:val="left"/>
      <w:pPr>
        <w:ind w:left="5556" w:hanging="226"/>
      </w:pPr>
      <w:rPr>
        <w:rFonts w:hint="default"/>
      </w:rPr>
    </w:lvl>
    <w:lvl w:ilvl="6" w:tplc="FF8066CA">
      <w:numFmt w:val="bullet"/>
      <w:lvlText w:val="•"/>
      <w:lvlJc w:val="left"/>
      <w:pPr>
        <w:ind w:left="6603" w:hanging="226"/>
      </w:pPr>
      <w:rPr>
        <w:rFonts w:hint="default"/>
      </w:rPr>
    </w:lvl>
    <w:lvl w:ilvl="7" w:tplc="DB609104">
      <w:numFmt w:val="bullet"/>
      <w:lvlText w:val="•"/>
      <w:lvlJc w:val="left"/>
      <w:pPr>
        <w:ind w:left="7651" w:hanging="226"/>
      </w:pPr>
      <w:rPr>
        <w:rFonts w:hint="default"/>
      </w:rPr>
    </w:lvl>
    <w:lvl w:ilvl="8" w:tplc="E56AD940">
      <w:numFmt w:val="bullet"/>
      <w:lvlText w:val="•"/>
      <w:lvlJc w:val="left"/>
      <w:pPr>
        <w:ind w:left="8698" w:hanging="226"/>
      </w:pPr>
      <w:rPr>
        <w:rFonts w:hint="default"/>
      </w:rPr>
    </w:lvl>
  </w:abstractNum>
  <w:num w:numId="1">
    <w:abstractNumId w:val="14"/>
  </w:num>
  <w:num w:numId="2">
    <w:abstractNumId w:val="4"/>
  </w:num>
  <w:num w:numId="3">
    <w:abstractNumId w:val="6"/>
  </w:num>
  <w:num w:numId="4">
    <w:abstractNumId w:val="17"/>
  </w:num>
  <w:num w:numId="5">
    <w:abstractNumId w:val="3"/>
  </w:num>
  <w:num w:numId="6">
    <w:abstractNumId w:val="12"/>
  </w:num>
  <w:num w:numId="7">
    <w:abstractNumId w:val="15"/>
  </w:num>
  <w:num w:numId="8">
    <w:abstractNumId w:val="7"/>
  </w:num>
  <w:num w:numId="9">
    <w:abstractNumId w:val="11"/>
  </w:num>
  <w:num w:numId="10">
    <w:abstractNumId w:val="2"/>
  </w:num>
  <w:num w:numId="11">
    <w:abstractNumId w:val="1"/>
  </w:num>
  <w:num w:numId="12">
    <w:abstractNumId w:val="9"/>
  </w:num>
  <w:num w:numId="13">
    <w:abstractNumId w:val="5"/>
  </w:num>
  <w:num w:numId="14">
    <w:abstractNumId w:val="0"/>
  </w:num>
  <w:num w:numId="15">
    <w:abstractNumId w:val="10"/>
  </w:num>
  <w:num w:numId="16">
    <w:abstractNumId w:val="8"/>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41"/>
    <w:rsid w:val="00362DB3"/>
    <w:rsid w:val="00524246"/>
    <w:rsid w:val="00577741"/>
    <w:rsid w:val="00843681"/>
    <w:rsid w:val="00A5320B"/>
    <w:rsid w:val="00B0728E"/>
    <w:rsid w:val="00EF4863"/>
    <w:rsid w:val="00F3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4863"/>
    <w:rPr>
      <w:rFonts w:ascii="Tahoma" w:hAnsi="Tahoma" w:cs="Tahoma"/>
      <w:sz w:val="16"/>
      <w:szCs w:val="16"/>
    </w:rPr>
  </w:style>
  <w:style w:type="character" w:customStyle="1" w:styleId="BalloonTextChar">
    <w:name w:val="Balloon Text Char"/>
    <w:basedOn w:val="DefaultParagraphFont"/>
    <w:link w:val="BalloonText"/>
    <w:uiPriority w:val="99"/>
    <w:semiHidden/>
    <w:rsid w:val="00EF486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4863"/>
    <w:rPr>
      <w:rFonts w:ascii="Tahoma" w:hAnsi="Tahoma" w:cs="Tahoma"/>
      <w:sz w:val="16"/>
      <w:szCs w:val="16"/>
    </w:rPr>
  </w:style>
  <w:style w:type="character" w:customStyle="1" w:styleId="BalloonTextChar">
    <w:name w:val="Balloon Text Char"/>
    <w:basedOn w:val="DefaultParagraphFont"/>
    <w:link w:val="BalloonText"/>
    <w:uiPriority w:val="99"/>
    <w:semiHidden/>
    <w:rsid w:val="00EF486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ss.mo.gov/mhd/global/pages/calendar.htm" TargetMode="External"/><Relationship Id="rId4" Type="http://schemas.openxmlformats.org/officeDocument/2006/relationships/settings" Target="settings.xml"/><Relationship Id="rId9" Type="http://schemas.openxmlformats.org/officeDocument/2006/relationships/hyperlink" Target="http://dss.missouri.gov/mhd/cs/pharmacy/impsc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Willmeno</dc:creator>
  <cp:lastModifiedBy>Moseley, Frances</cp:lastModifiedBy>
  <cp:revision>2</cp:revision>
  <cp:lastPrinted>2017-05-22T21:04:00Z</cp:lastPrinted>
  <dcterms:created xsi:type="dcterms:W3CDTF">2017-05-22T21:16:00Z</dcterms:created>
  <dcterms:modified xsi:type="dcterms:W3CDTF">2017-05-22T21:16:00Z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Microsoft® Word 2010</vt:lpwstr>
  </property>
  <property fmtid="{D5CDD505-2E9C-101B-9397-08002B2CF9AE}" pid="4" name="LastSaved">
    <vt:filetime>2017-05-19T00:00:00Z</vt:filetime>
  </property>
</Properties>
</file>