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F053" w14:textId="681354FB" w:rsidR="003F2BC8" w:rsidRPr="00417F7D" w:rsidRDefault="003F2BC8" w:rsidP="00A43F23">
      <w:pPr>
        <w:pStyle w:val="Title"/>
        <w:framePr w:w="7186" w:h="901" w:hRule="exact" w:wrap="around" w:hAnchor="page" w:x="886" w:y="1081"/>
        <w:rPr>
          <w:color w:val="000099"/>
        </w:rPr>
      </w:pPr>
      <w:r w:rsidRPr="00417F7D">
        <w:rPr>
          <w:color w:val="000099"/>
        </w:rPr>
        <w:t>New Drug Fact Blast</w:t>
      </w:r>
    </w:p>
    <w:p w14:paraId="08BDF054" w14:textId="77777777" w:rsidR="003F2BC8" w:rsidRPr="00417F7D" w:rsidRDefault="003F2BC8" w:rsidP="003F2BC8"/>
    <w:p w14:paraId="08BDF055" w14:textId="77777777" w:rsidR="003F2BC8" w:rsidRPr="00417F7D" w:rsidRDefault="003F2BC8" w:rsidP="003F2BC8"/>
    <w:p w14:paraId="08BDF056" w14:textId="77777777" w:rsidR="003F2BC8" w:rsidRPr="00417F7D" w:rsidRDefault="003F2BC8" w:rsidP="003F2BC8"/>
    <w:p w14:paraId="08BDF057" w14:textId="309C896D" w:rsidR="00B43216" w:rsidRPr="00417F7D" w:rsidRDefault="00DD7B75" w:rsidP="00A43F23">
      <w:pPr>
        <w:pStyle w:val="Title2"/>
        <w:framePr w:wrap="around" w:hAnchor="page" w:x="961" w:y="1891"/>
      </w:pPr>
      <w:r w:rsidRPr="00417F7D">
        <w:t>Clinical Services</w:t>
      </w:r>
    </w:p>
    <w:p w14:paraId="08BDF058" w14:textId="77777777" w:rsidR="003F2BC8" w:rsidRPr="00417F7D" w:rsidRDefault="003F2BC8" w:rsidP="003F2BC8"/>
    <w:tbl>
      <w:tblPr>
        <w:tblW w:w="5000" w:type="pct"/>
        <w:tblInd w:w="108" w:type="dxa"/>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Layout w:type="fixed"/>
        <w:tblLook w:val="01E0" w:firstRow="1" w:lastRow="1" w:firstColumn="1" w:lastColumn="1" w:noHBand="0" w:noVBand="0"/>
      </w:tblPr>
      <w:tblGrid>
        <w:gridCol w:w="2441"/>
        <w:gridCol w:w="8354"/>
      </w:tblGrid>
      <w:tr w:rsidR="00DD7B75" w:rsidRPr="00417F7D" w14:paraId="1B4B063A"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593C4A58" w14:textId="15A68378" w:rsidR="00DD7B75" w:rsidRPr="00417F7D" w:rsidRDefault="00694030" w:rsidP="00694030">
            <w:pPr>
              <w:tabs>
                <w:tab w:val="left" w:pos="2400"/>
              </w:tabs>
              <w:suppressAutoHyphens/>
              <w:spacing w:before="60" w:after="60" w:line="220" w:lineRule="exact"/>
              <w:rPr>
                <w:b/>
                <w:color w:val="FFFFFF"/>
                <w:sz w:val="20"/>
                <w:szCs w:val="20"/>
              </w:rPr>
            </w:pPr>
            <w:r w:rsidRPr="00417F7D">
              <w:rPr>
                <w:b/>
                <w:color w:val="FFFFFF"/>
                <w:sz w:val="20"/>
                <w:szCs w:val="20"/>
              </w:rPr>
              <w:t>Drug/Manufacturer:</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78FCF4DF" w14:textId="73FCDB5B" w:rsidR="00804AAC" w:rsidRPr="00417F7D" w:rsidRDefault="00000000" w:rsidP="0089062E">
            <w:pPr>
              <w:tabs>
                <w:tab w:val="center" w:pos="4069"/>
              </w:tabs>
              <w:rPr>
                <w:rFonts w:eastAsia="Arial"/>
                <w:b/>
                <w:bCs/>
                <w:sz w:val="20"/>
                <w:szCs w:val="20"/>
              </w:rPr>
            </w:pPr>
            <w:sdt>
              <w:sdtPr>
                <w:rPr>
                  <w:b/>
                  <w:sz w:val="20"/>
                  <w:szCs w:val="20"/>
                </w:rPr>
                <w:id w:val="-1600099694"/>
                <w:placeholder>
                  <w:docPart w:val="AA60EE451BBC4C06BFB9379D909DDB80"/>
                </w:placeholder>
              </w:sdtPr>
              <w:sdtContent>
                <w:proofErr w:type="spellStart"/>
                <w:r w:rsidR="008B6F1A">
                  <w:rPr>
                    <w:b/>
                    <w:sz w:val="20"/>
                    <w:szCs w:val="20"/>
                  </w:rPr>
                  <w:t>Ry</w:t>
                </w:r>
                <w:r w:rsidR="00ED4A89">
                  <w:rPr>
                    <w:b/>
                    <w:sz w:val="20"/>
                    <w:szCs w:val="20"/>
                  </w:rPr>
                  <w:t>stiggo</w:t>
                </w:r>
                <w:proofErr w:type="spellEnd"/>
              </w:sdtContent>
            </w:sdt>
            <w:sdt>
              <w:sdtPr>
                <w:rPr>
                  <w:b/>
                  <w:sz w:val="20"/>
                  <w:szCs w:val="20"/>
                  <w:vertAlign w:val="superscript"/>
                </w:rPr>
                <w:id w:val="191419323"/>
                <w:placeholder>
                  <w:docPart w:val="C1C33632937E4EBDA7F5D17999C0E08D"/>
                </w:placeholder>
                <w:dropDownList>
                  <w:listItem w:value="Choose an item."/>
                  <w:listItem w:displayText="®" w:value="®"/>
                  <w:listItem w:displayText="™" w:value="™"/>
                </w:dropDownList>
              </w:sdtPr>
              <w:sdtContent>
                <w:r w:rsidR="00ED4A89" w:rsidRPr="008C6F8D">
                  <w:rPr>
                    <w:b/>
                    <w:sz w:val="20"/>
                    <w:szCs w:val="20"/>
                    <w:vertAlign w:val="superscript"/>
                  </w:rPr>
                  <w:t>®</w:t>
                </w:r>
              </w:sdtContent>
            </w:sdt>
            <w:r w:rsidR="00DF56E3" w:rsidRPr="00417F7D">
              <w:rPr>
                <w:b/>
                <w:bCs/>
                <w:sz w:val="20"/>
                <w:szCs w:val="20"/>
              </w:rPr>
              <w:t xml:space="preserve"> </w:t>
            </w:r>
            <w:r w:rsidR="00804AAC" w:rsidRPr="00417F7D">
              <w:rPr>
                <w:b/>
                <w:bCs/>
                <w:sz w:val="20"/>
                <w:szCs w:val="20"/>
              </w:rPr>
              <w:t>(</w:t>
            </w:r>
            <w:proofErr w:type="spellStart"/>
            <w:sdt>
              <w:sdtPr>
                <w:rPr>
                  <w:b/>
                  <w:sz w:val="20"/>
                  <w:szCs w:val="20"/>
                </w:rPr>
                <w:id w:val="-1530322619"/>
                <w:placeholder>
                  <w:docPart w:val="830DDE662E6E4B2799DB58AF8E0424EF"/>
                </w:placeholder>
              </w:sdtPr>
              <w:sdtContent>
                <w:r w:rsidR="00BD0C1F">
                  <w:rPr>
                    <w:b/>
                    <w:sz w:val="20"/>
                    <w:szCs w:val="20"/>
                  </w:rPr>
                  <w:t>rozanolixizumab-noli</w:t>
                </w:r>
                <w:proofErr w:type="spellEnd"/>
              </w:sdtContent>
            </w:sdt>
            <w:r w:rsidR="00804AAC" w:rsidRPr="00417F7D">
              <w:rPr>
                <w:b/>
                <w:bCs/>
                <w:sz w:val="20"/>
                <w:szCs w:val="20"/>
              </w:rPr>
              <w:t>) [</w:t>
            </w:r>
            <w:sdt>
              <w:sdtPr>
                <w:rPr>
                  <w:b/>
                  <w:sz w:val="20"/>
                  <w:szCs w:val="20"/>
                </w:rPr>
                <w:id w:val="1811668447"/>
                <w:placeholder>
                  <w:docPart w:val="9B05BDF7480C499C97DB44362A37E843"/>
                </w:placeholder>
              </w:sdtPr>
              <w:sdtContent>
                <w:r w:rsidR="00F22DF4">
                  <w:rPr>
                    <w:b/>
                    <w:sz w:val="20"/>
                    <w:szCs w:val="20"/>
                  </w:rPr>
                  <w:t>UCB, Inc.</w:t>
                </w:r>
              </w:sdtContent>
            </w:sdt>
            <w:r w:rsidR="00804AAC" w:rsidRPr="00417F7D">
              <w:rPr>
                <w:b/>
                <w:bCs/>
                <w:sz w:val="20"/>
                <w:szCs w:val="20"/>
              </w:rPr>
              <w:t>]</w:t>
            </w:r>
          </w:p>
        </w:tc>
      </w:tr>
      <w:tr w:rsidR="00DD7B75" w:rsidRPr="00417F7D" w14:paraId="035D513D"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283A9240" w14:textId="77777777" w:rsidR="00DD7B75" w:rsidRPr="00417F7D" w:rsidRDefault="00DD7B75" w:rsidP="00DD7B75">
            <w:pPr>
              <w:tabs>
                <w:tab w:val="left" w:pos="2400"/>
              </w:tabs>
              <w:suppressAutoHyphens/>
              <w:spacing w:before="60" w:after="60" w:line="220" w:lineRule="exact"/>
              <w:rPr>
                <w:b/>
                <w:color w:val="FFFFFF"/>
                <w:sz w:val="20"/>
                <w:szCs w:val="20"/>
              </w:rPr>
            </w:pPr>
            <w:r w:rsidRPr="00417F7D">
              <w:rPr>
                <w:b/>
                <w:color w:val="FFFFFF"/>
                <w:sz w:val="20"/>
                <w:szCs w:val="20"/>
              </w:rPr>
              <w:t>Dosage Formulations: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6A09570C" w14:textId="4E517E68" w:rsidR="00DD7B75" w:rsidRPr="00417F7D" w:rsidRDefault="00A83191" w:rsidP="00FE5EBF">
            <w:pPr>
              <w:pStyle w:val="NoSpacing"/>
              <w:rPr>
                <w:rFonts w:eastAsia="Arial"/>
                <w:sz w:val="20"/>
                <w:szCs w:val="20"/>
              </w:rPr>
            </w:pPr>
            <w:r>
              <w:rPr>
                <w:rFonts w:eastAsia="Arial"/>
                <w:sz w:val="20"/>
                <w:szCs w:val="20"/>
              </w:rPr>
              <w:t>S</w:t>
            </w:r>
            <w:r w:rsidR="001C1929" w:rsidRPr="001C1929">
              <w:rPr>
                <w:rFonts w:eastAsia="Arial"/>
                <w:sz w:val="20"/>
                <w:szCs w:val="20"/>
              </w:rPr>
              <w:t>terile, preservative-free, clear to</w:t>
            </w:r>
            <w:r w:rsidR="00FE5EBF">
              <w:rPr>
                <w:rFonts w:eastAsia="Arial"/>
                <w:sz w:val="20"/>
                <w:szCs w:val="20"/>
              </w:rPr>
              <w:t xml:space="preserve"> </w:t>
            </w:r>
            <w:r w:rsidR="001C1929" w:rsidRPr="001C1929">
              <w:rPr>
                <w:rFonts w:eastAsia="Arial"/>
                <w:sz w:val="20"/>
                <w:szCs w:val="20"/>
              </w:rPr>
              <w:t>slightly opalescent, colorless to pale brownish yellow solution</w:t>
            </w:r>
            <w:r w:rsidR="00B96685">
              <w:rPr>
                <w:rFonts w:eastAsia="Arial"/>
                <w:sz w:val="20"/>
                <w:szCs w:val="20"/>
              </w:rPr>
              <w:t>, administered as a subcutaneous infusion</w:t>
            </w:r>
            <w:r w:rsidR="001C1929" w:rsidRPr="001C1929">
              <w:rPr>
                <w:rFonts w:eastAsia="Arial"/>
                <w:sz w:val="20"/>
                <w:szCs w:val="20"/>
              </w:rPr>
              <w:t xml:space="preserve"> </w:t>
            </w:r>
            <w:r w:rsidR="00A33182">
              <w:rPr>
                <w:rFonts w:eastAsia="Arial"/>
                <w:sz w:val="20"/>
                <w:szCs w:val="20"/>
              </w:rPr>
              <w:t>that delivers</w:t>
            </w:r>
            <w:r w:rsidR="00FE5EBF">
              <w:rPr>
                <w:rFonts w:eastAsia="Arial"/>
                <w:sz w:val="20"/>
                <w:szCs w:val="20"/>
              </w:rPr>
              <w:t xml:space="preserve"> </w:t>
            </w:r>
            <w:r w:rsidR="001C1929" w:rsidRPr="001C1929">
              <w:rPr>
                <w:rFonts w:eastAsia="Arial"/>
                <w:sz w:val="20"/>
                <w:szCs w:val="20"/>
              </w:rPr>
              <w:t xml:space="preserve">280 mg/2 mL (140 mg/mL) </w:t>
            </w:r>
            <w:r w:rsidR="00FE5EBF">
              <w:rPr>
                <w:rFonts w:eastAsia="Arial"/>
                <w:sz w:val="20"/>
                <w:szCs w:val="20"/>
              </w:rPr>
              <w:t xml:space="preserve">of </w:t>
            </w:r>
            <w:proofErr w:type="spellStart"/>
            <w:r w:rsidR="00FE5EBF">
              <w:rPr>
                <w:rFonts w:eastAsia="Arial"/>
                <w:sz w:val="20"/>
                <w:szCs w:val="20"/>
              </w:rPr>
              <w:t>rozanolixizumab-noli</w:t>
            </w:r>
            <w:proofErr w:type="spellEnd"/>
            <w:r w:rsidR="00270AE3">
              <w:rPr>
                <w:rFonts w:eastAsia="Arial"/>
                <w:sz w:val="20"/>
                <w:szCs w:val="20"/>
              </w:rPr>
              <w:t>.</w:t>
            </w:r>
          </w:p>
        </w:tc>
      </w:tr>
      <w:tr w:rsidR="00DD7B75" w:rsidRPr="00417F7D" w14:paraId="24C364FD" w14:textId="77777777" w:rsidTr="0089062E">
        <w:tc>
          <w:tcPr>
            <w:tcW w:w="2441" w:type="dxa"/>
            <w:tcBorders>
              <w:top w:val="nil"/>
              <w:left w:val="nil"/>
              <w:bottom w:val="single" w:sz="4" w:space="0" w:color="FFFFFF" w:themeColor="background1"/>
              <w:right w:val="single" w:sz="4" w:space="0" w:color="FFFFFF" w:themeColor="background1"/>
            </w:tcBorders>
            <w:shd w:val="clear" w:color="auto" w:fill="000099"/>
          </w:tcPr>
          <w:p w14:paraId="2E023786" w14:textId="7D879997" w:rsidR="00DD7B75" w:rsidRPr="00417F7D" w:rsidRDefault="00694030" w:rsidP="00DD7B75">
            <w:pPr>
              <w:tabs>
                <w:tab w:val="left" w:pos="2400"/>
              </w:tabs>
              <w:suppressAutoHyphens/>
              <w:spacing w:before="60" w:after="60" w:line="220" w:lineRule="exact"/>
              <w:rPr>
                <w:b/>
                <w:color w:val="FFFFFF"/>
                <w:sz w:val="20"/>
                <w:szCs w:val="20"/>
              </w:rPr>
            </w:pPr>
            <w:r w:rsidRPr="00417F7D">
              <w:rPr>
                <w:b/>
                <w:color w:val="FFFFFF"/>
                <w:sz w:val="20"/>
                <w:szCs w:val="20"/>
              </w:rPr>
              <w:t>FDA Approval Date: FDB File Date:</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7F72A275" w14:textId="7CA3A19F" w:rsidR="00804AAC" w:rsidRPr="00417F7D" w:rsidRDefault="00804AAC" w:rsidP="0089062E">
            <w:pPr>
              <w:rPr>
                <w:rFonts w:eastAsia="Arial"/>
                <w:sz w:val="20"/>
                <w:szCs w:val="20"/>
              </w:rPr>
            </w:pPr>
            <w:r w:rsidRPr="00417F7D">
              <w:rPr>
                <w:sz w:val="20"/>
                <w:szCs w:val="20"/>
              </w:rPr>
              <w:t xml:space="preserve">FDA: </w:t>
            </w:r>
            <w:sdt>
              <w:sdtPr>
                <w:rPr>
                  <w:bCs/>
                  <w:sz w:val="20"/>
                  <w:szCs w:val="20"/>
                </w:rPr>
                <w:id w:val="-752746666"/>
                <w:placeholder>
                  <w:docPart w:val="9DDD2576050E461BB879FAC729BC3861"/>
                </w:placeholder>
                <w:date w:fullDate="2023-06-26T00:00:00Z">
                  <w:dateFormat w:val="MMMM d, yyyy"/>
                  <w:lid w:val="en-US"/>
                  <w:storeMappedDataAs w:val="dateTime"/>
                  <w:calendar w:val="gregorian"/>
                </w:date>
              </w:sdtPr>
              <w:sdtContent>
                <w:r w:rsidR="00821AAC">
                  <w:rPr>
                    <w:bCs/>
                    <w:sz w:val="20"/>
                    <w:szCs w:val="20"/>
                  </w:rPr>
                  <w:t>June 26, 2023</w:t>
                </w:r>
              </w:sdtContent>
            </w:sdt>
          </w:p>
          <w:p w14:paraId="2618E985" w14:textId="4183A694" w:rsidR="00DD7B75" w:rsidRPr="00417F7D" w:rsidRDefault="00804AAC" w:rsidP="0089062E">
            <w:pPr>
              <w:rPr>
                <w:rFonts w:eastAsia="Arial"/>
                <w:sz w:val="20"/>
                <w:szCs w:val="20"/>
              </w:rPr>
            </w:pPr>
            <w:r w:rsidRPr="00417F7D">
              <w:rPr>
                <w:sz w:val="20"/>
                <w:szCs w:val="20"/>
              </w:rPr>
              <w:t xml:space="preserve">FDB: </w:t>
            </w:r>
            <w:sdt>
              <w:sdtPr>
                <w:rPr>
                  <w:bCs/>
                  <w:sz w:val="20"/>
                  <w:szCs w:val="20"/>
                </w:rPr>
                <w:id w:val="-797920514"/>
                <w:placeholder>
                  <w:docPart w:val="51BEEC8C00114EDDA4A49A34EF6C5F8A"/>
                </w:placeholder>
                <w:date w:fullDate="2023-07-02T00:00:00Z">
                  <w:dateFormat w:val="MMMM d, yyyy"/>
                  <w:lid w:val="en-US"/>
                  <w:storeMappedDataAs w:val="dateTime"/>
                  <w:calendar w:val="gregorian"/>
                </w:date>
              </w:sdtPr>
              <w:sdtContent>
                <w:r w:rsidR="00A70E38">
                  <w:rPr>
                    <w:bCs/>
                    <w:sz w:val="20"/>
                    <w:szCs w:val="20"/>
                  </w:rPr>
                  <w:t>July 2, 2023</w:t>
                </w:r>
              </w:sdtContent>
            </w:sdt>
          </w:p>
        </w:tc>
      </w:tr>
      <w:tr w:rsidR="00DD7B75" w:rsidRPr="00417F7D" w14:paraId="4E0F0B7B" w14:textId="77777777" w:rsidTr="0089062E">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2FDB904" w14:textId="77777777" w:rsidR="00DD7B75" w:rsidRPr="00417F7D" w:rsidRDefault="00DD7B75" w:rsidP="00DD7B75">
            <w:pPr>
              <w:tabs>
                <w:tab w:val="left" w:pos="2400"/>
              </w:tabs>
              <w:suppressAutoHyphens/>
              <w:spacing w:before="60" w:after="60" w:line="220" w:lineRule="exact"/>
              <w:rPr>
                <w:b/>
                <w:color w:val="FFFFFF"/>
                <w:sz w:val="20"/>
                <w:szCs w:val="20"/>
              </w:rPr>
            </w:pPr>
            <w:r w:rsidRPr="00417F7D">
              <w:rPr>
                <w:b/>
                <w:color w:val="FFFFFF"/>
                <w:sz w:val="20"/>
                <w:szCs w:val="20"/>
              </w:rPr>
              <w:t xml:space="preserve">Indication: </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4AAF9C61" w14:textId="62D3D7B0" w:rsidR="00DD7B75" w:rsidRPr="00417F7D" w:rsidRDefault="00A75CDA" w:rsidP="00A75CDA">
            <w:pPr>
              <w:pStyle w:val="NoSpacing"/>
              <w:rPr>
                <w:rFonts w:eastAsia="Arial"/>
                <w:sz w:val="20"/>
                <w:szCs w:val="20"/>
              </w:rPr>
            </w:pPr>
            <w:r>
              <w:rPr>
                <w:rFonts w:eastAsia="Arial"/>
                <w:sz w:val="20"/>
                <w:szCs w:val="20"/>
              </w:rPr>
              <w:t>T</w:t>
            </w:r>
            <w:r w:rsidRPr="00A75CDA">
              <w:rPr>
                <w:rFonts w:eastAsia="Arial"/>
                <w:sz w:val="20"/>
                <w:szCs w:val="20"/>
              </w:rPr>
              <w:t>reatment of generalized myasthenia gravis (</w:t>
            </w:r>
            <w:proofErr w:type="spellStart"/>
            <w:r w:rsidRPr="00A75CDA">
              <w:rPr>
                <w:rFonts w:eastAsia="Arial"/>
                <w:sz w:val="20"/>
                <w:szCs w:val="20"/>
              </w:rPr>
              <w:t>gMG</w:t>
            </w:r>
            <w:proofErr w:type="spellEnd"/>
            <w:r w:rsidRPr="00A75CDA">
              <w:rPr>
                <w:rFonts w:eastAsia="Arial"/>
                <w:sz w:val="20"/>
                <w:szCs w:val="20"/>
              </w:rPr>
              <w:t>) in</w:t>
            </w:r>
            <w:r w:rsidR="0014326E">
              <w:rPr>
                <w:rFonts w:eastAsia="Arial"/>
                <w:sz w:val="20"/>
                <w:szCs w:val="20"/>
              </w:rPr>
              <w:t xml:space="preserve"> </w:t>
            </w:r>
            <w:r w:rsidRPr="00A75CDA">
              <w:rPr>
                <w:rFonts w:eastAsia="Arial"/>
                <w:sz w:val="20"/>
                <w:szCs w:val="20"/>
              </w:rPr>
              <w:t>adult patients who are anti-acetylcholine receptor (</w:t>
            </w:r>
            <w:proofErr w:type="spellStart"/>
            <w:r w:rsidRPr="00A75CDA">
              <w:rPr>
                <w:rFonts w:eastAsia="Arial"/>
                <w:sz w:val="20"/>
                <w:szCs w:val="20"/>
              </w:rPr>
              <w:t>AChR</w:t>
            </w:r>
            <w:proofErr w:type="spellEnd"/>
            <w:r w:rsidRPr="00A75CDA">
              <w:rPr>
                <w:rFonts w:eastAsia="Arial"/>
                <w:sz w:val="20"/>
                <w:szCs w:val="20"/>
              </w:rPr>
              <w:t>) or anti</w:t>
            </w:r>
            <w:r w:rsidR="00926F9B">
              <w:rPr>
                <w:rFonts w:eastAsia="Arial"/>
                <w:sz w:val="20"/>
                <w:szCs w:val="20"/>
              </w:rPr>
              <w:t>-</w:t>
            </w:r>
            <w:r w:rsidRPr="00A75CDA">
              <w:rPr>
                <w:rFonts w:eastAsia="Arial"/>
                <w:sz w:val="20"/>
                <w:szCs w:val="20"/>
              </w:rPr>
              <w:t>muscle-specific tyrosine kinase (</w:t>
            </w:r>
            <w:proofErr w:type="spellStart"/>
            <w:r w:rsidRPr="00A75CDA">
              <w:rPr>
                <w:rFonts w:eastAsia="Arial"/>
                <w:sz w:val="20"/>
                <w:szCs w:val="20"/>
              </w:rPr>
              <w:t>MuSK</w:t>
            </w:r>
            <w:proofErr w:type="spellEnd"/>
            <w:r w:rsidRPr="00A75CDA">
              <w:rPr>
                <w:rFonts w:eastAsia="Arial"/>
                <w:sz w:val="20"/>
                <w:szCs w:val="20"/>
              </w:rPr>
              <w:t>) antibody positive</w:t>
            </w:r>
            <w:r w:rsidR="0044228F">
              <w:rPr>
                <w:rFonts w:eastAsia="Arial"/>
                <w:sz w:val="20"/>
                <w:szCs w:val="20"/>
              </w:rPr>
              <w:t xml:space="preserve"> </w:t>
            </w:r>
            <w:r w:rsidR="00752DE2">
              <w:rPr>
                <w:rFonts w:eastAsia="Arial"/>
                <w:sz w:val="20"/>
                <w:szCs w:val="20"/>
              </w:rPr>
              <w:t>(A</w:t>
            </w:r>
            <w:r w:rsidR="00F97DC6">
              <w:rPr>
                <w:rFonts w:eastAsia="Arial"/>
                <w:sz w:val="20"/>
                <w:szCs w:val="20"/>
              </w:rPr>
              <w:t>b</w:t>
            </w:r>
            <w:r w:rsidR="00752DE2">
              <w:rPr>
                <w:rFonts w:eastAsia="Arial"/>
                <w:sz w:val="20"/>
                <w:szCs w:val="20"/>
              </w:rPr>
              <w:t>+)</w:t>
            </w:r>
            <w:r w:rsidR="00DF4062">
              <w:rPr>
                <w:rFonts w:eastAsia="Arial"/>
                <w:sz w:val="20"/>
                <w:szCs w:val="20"/>
              </w:rPr>
              <w:t>.</w:t>
            </w:r>
          </w:p>
        </w:tc>
      </w:tr>
      <w:tr w:rsidR="00DD7B75" w:rsidRPr="00417F7D" w14:paraId="5F6D1D42" w14:textId="77777777" w:rsidTr="0089062E">
        <w:trPr>
          <w:trHeight w:val="665"/>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2384A25" w14:textId="77777777" w:rsidR="00DD7B75" w:rsidRPr="00417F7D" w:rsidRDefault="00DD7B75" w:rsidP="00DD7B75">
            <w:pPr>
              <w:tabs>
                <w:tab w:val="left" w:pos="2400"/>
              </w:tabs>
              <w:suppressAutoHyphens/>
              <w:spacing w:before="60" w:after="60" w:line="220" w:lineRule="exact"/>
              <w:rPr>
                <w:b/>
                <w:color w:val="FFFFFF"/>
                <w:sz w:val="20"/>
                <w:szCs w:val="20"/>
              </w:rPr>
            </w:pPr>
            <w:r w:rsidRPr="00417F7D">
              <w:rPr>
                <w:b/>
                <w:color w:val="FFFFFF"/>
                <w:sz w:val="20"/>
                <w:szCs w:val="20"/>
              </w:rPr>
              <w:t>Mechanism of Action:</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34814CD3" w14:textId="5F4189EC" w:rsidR="00DD7B75" w:rsidRPr="00417F7D" w:rsidRDefault="00865144" w:rsidP="0089062E">
            <w:pPr>
              <w:pStyle w:val="NoSpacing"/>
              <w:rPr>
                <w:rFonts w:eastAsia="Arial"/>
                <w:sz w:val="20"/>
                <w:szCs w:val="20"/>
              </w:rPr>
            </w:pPr>
            <w:proofErr w:type="spellStart"/>
            <w:r w:rsidRPr="00865144">
              <w:rPr>
                <w:rFonts w:eastAsia="Arial"/>
                <w:sz w:val="20"/>
                <w:szCs w:val="20"/>
              </w:rPr>
              <w:t>Rystiggo</w:t>
            </w:r>
            <w:proofErr w:type="spellEnd"/>
            <w:r w:rsidRPr="00865144">
              <w:rPr>
                <w:rFonts w:eastAsia="Arial"/>
                <w:sz w:val="20"/>
                <w:szCs w:val="20"/>
              </w:rPr>
              <w:t xml:space="preserve"> is a humanized IgG4 monoclonal antibody that binds to the neonatal Fc receptor (</w:t>
            </w:r>
            <w:proofErr w:type="spellStart"/>
            <w:r w:rsidRPr="00865144">
              <w:rPr>
                <w:rFonts w:eastAsia="Arial"/>
                <w:sz w:val="20"/>
                <w:szCs w:val="20"/>
              </w:rPr>
              <w:t>FcRn</w:t>
            </w:r>
            <w:proofErr w:type="spellEnd"/>
            <w:r w:rsidRPr="00865144">
              <w:rPr>
                <w:rFonts w:eastAsia="Arial"/>
                <w:sz w:val="20"/>
                <w:szCs w:val="20"/>
              </w:rPr>
              <w:t>), resulting in the reduction of circulating IgG (including fewer harmful antibodies),</w:t>
            </w:r>
            <w:r w:rsidR="003D7348">
              <w:rPr>
                <w:rFonts w:eastAsia="Arial"/>
                <w:sz w:val="20"/>
                <w:szCs w:val="20"/>
              </w:rPr>
              <w:t xml:space="preserve"> </w:t>
            </w:r>
            <w:r w:rsidRPr="00865144">
              <w:rPr>
                <w:rFonts w:eastAsia="Arial"/>
                <w:sz w:val="20"/>
                <w:szCs w:val="20"/>
              </w:rPr>
              <w:t xml:space="preserve">which reduces the symptoms of </w:t>
            </w:r>
            <w:proofErr w:type="spellStart"/>
            <w:r w:rsidRPr="00865144">
              <w:rPr>
                <w:rFonts w:eastAsia="Arial"/>
                <w:sz w:val="20"/>
                <w:szCs w:val="20"/>
              </w:rPr>
              <w:t>gMG</w:t>
            </w:r>
            <w:proofErr w:type="spellEnd"/>
            <w:r w:rsidRPr="00865144">
              <w:rPr>
                <w:rFonts w:eastAsia="Arial"/>
                <w:sz w:val="20"/>
                <w:szCs w:val="20"/>
              </w:rPr>
              <w:t>.</w:t>
            </w:r>
          </w:p>
        </w:tc>
      </w:tr>
      <w:tr w:rsidR="00DD7B75" w:rsidRPr="00417F7D" w14:paraId="7D18C118" w14:textId="77777777" w:rsidTr="0089062E">
        <w:trPr>
          <w:trHeight w:val="44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78084850" w14:textId="77777777" w:rsidR="00DD7B75" w:rsidRPr="00417F7D" w:rsidRDefault="00DD7B75" w:rsidP="00DD7B75">
            <w:pPr>
              <w:tabs>
                <w:tab w:val="left" w:pos="2400"/>
              </w:tabs>
              <w:suppressAutoHyphens/>
              <w:spacing w:before="60" w:after="60" w:line="220" w:lineRule="exact"/>
              <w:rPr>
                <w:b/>
                <w:color w:val="FFFFFF"/>
                <w:sz w:val="20"/>
                <w:szCs w:val="20"/>
              </w:rPr>
            </w:pPr>
            <w:r w:rsidRPr="00417F7D">
              <w:rPr>
                <w:b/>
                <w:color w:val="FFFFFF"/>
                <w:sz w:val="20"/>
                <w:szCs w:val="20"/>
              </w:rPr>
              <w:t>Dose/ Administration:</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4D5808C8" w14:textId="51EC8F0B" w:rsidR="00C7112A" w:rsidRPr="00C7112A" w:rsidRDefault="00C7112A" w:rsidP="00C7112A">
            <w:pPr>
              <w:pStyle w:val="NoSpacing"/>
              <w:numPr>
                <w:ilvl w:val="0"/>
                <w:numId w:val="27"/>
              </w:numPr>
              <w:rPr>
                <w:rFonts w:eastAsia="Arial"/>
                <w:sz w:val="20"/>
                <w:szCs w:val="20"/>
              </w:rPr>
            </w:pPr>
            <w:r>
              <w:rPr>
                <w:rFonts w:eastAsia="Arial"/>
                <w:sz w:val="20"/>
                <w:szCs w:val="20"/>
              </w:rPr>
              <w:t>Before initiation of a new treatment cycle</w:t>
            </w:r>
            <w:r w:rsidR="00517E99">
              <w:rPr>
                <w:rFonts w:eastAsia="Arial"/>
                <w:sz w:val="20"/>
                <w:szCs w:val="20"/>
              </w:rPr>
              <w:t xml:space="preserve"> with </w:t>
            </w:r>
            <w:proofErr w:type="spellStart"/>
            <w:r w:rsidR="00517E99">
              <w:rPr>
                <w:rFonts w:eastAsia="Arial"/>
                <w:sz w:val="20"/>
                <w:szCs w:val="20"/>
              </w:rPr>
              <w:t>Rystiggo</w:t>
            </w:r>
            <w:proofErr w:type="spellEnd"/>
            <w:r>
              <w:rPr>
                <w:rFonts w:eastAsia="Arial"/>
                <w:sz w:val="20"/>
                <w:szCs w:val="20"/>
              </w:rPr>
              <w:t>, e</w:t>
            </w:r>
            <w:r w:rsidRPr="00C7112A">
              <w:rPr>
                <w:rFonts w:eastAsia="Arial"/>
                <w:sz w:val="20"/>
                <w:szCs w:val="20"/>
              </w:rPr>
              <w:t>valuate the need to administer age-appropriate vaccines</w:t>
            </w:r>
            <w:r>
              <w:rPr>
                <w:rFonts w:eastAsia="Arial"/>
                <w:sz w:val="20"/>
                <w:szCs w:val="20"/>
              </w:rPr>
              <w:t xml:space="preserve"> </w:t>
            </w:r>
            <w:r w:rsidRPr="00C7112A">
              <w:rPr>
                <w:rFonts w:eastAsia="Arial"/>
                <w:sz w:val="20"/>
                <w:szCs w:val="20"/>
              </w:rPr>
              <w:t>according to immunization guidelines</w:t>
            </w:r>
            <w:r w:rsidR="00E666CE">
              <w:rPr>
                <w:rFonts w:eastAsia="Arial"/>
                <w:sz w:val="20"/>
                <w:szCs w:val="20"/>
              </w:rPr>
              <w:t>.</w:t>
            </w:r>
            <w:r w:rsidR="000D30D5">
              <w:rPr>
                <w:rFonts w:eastAsia="Arial"/>
                <w:sz w:val="20"/>
                <w:szCs w:val="20"/>
              </w:rPr>
              <w:t xml:space="preserve"> </w:t>
            </w:r>
            <w:proofErr w:type="spellStart"/>
            <w:r w:rsidR="000D30D5">
              <w:rPr>
                <w:rFonts w:eastAsia="Arial"/>
                <w:sz w:val="20"/>
                <w:szCs w:val="20"/>
              </w:rPr>
              <w:t>Rystiggo</w:t>
            </w:r>
            <w:proofErr w:type="spellEnd"/>
            <w:r w:rsidR="000D30D5">
              <w:rPr>
                <w:rFonts w:eastAsia="Arial"/>
                <w:sz w:val="20"/>
                <w:szCs w:val="20"/>
              </w:rPr>
              <w:t xml:space="preserve"> causes transient reduction in IgG levels</w:t>
            </w:r>
            <w:r w:rsidR="00360D21">
              <w:rPr>
                <w:rFonts w:eastAsia="Arial"/>
                <w:sz w:val="20"/>
                <w:szCs w:val="20"/>
              </w:rPr>
              <w:t xml:space="preserve">; therefore, immunization with live-attenuated or live vaccines is not recommended during treatment with </w:t>
            </w:r>
            <w:proofErr w:type="spellStart"/>
            <w:r w:rsidR="00360D21">
              <w:rPr>
                <w:rFonts w:eastAsia="Arial"/>
                <w:sz w:val="20"/>
                <w:szCs w:val="20"/>
              </w:rPr>
              <w:t>Rystiggo</w:t>
            </w:r>
            <w:proofErr w:type="spellEnd"/>
            <w:r w:rsidR="00360D21">
              <w:rPr>
                <w:rFonts w:eastAsia="Arial"/>
                <w:sz w:val="20"/>
                <w:szCs w:val="20"/>
              </w:rPr>
              <w:t>.</w:t>
            </w:r>
          </w:p>
          <w:p w14:paraId="7BF666DC" w14:textId="77777777" w:rsidR="00F71BD1" w:rsidRDefault="00C7112A" w:rsidP="007A2D5F">
            <w:pPr>
              <w:pStyle w:val="NoSpacing"/>
              <w:numPr>
                <w:ilvl w:val="0"/>
                <w:numId w:val="27"/>
              </w:numPr>
              <w:rPr>
                <w:rFonts w:eastAsia="Arial"/>
                <w:sz w:val="20"/>
                <w:szCs w:val="20"/>
              </w:rPr>
            </w:pPr>
            <w:r w:rsidRPr="00C7112A">
              <w:rPr>
                <w:rFonts w:eastAsia="Arial"/>
                <w:sz w:val="20"/>
                <w:szCs w:val="20"/>
              </w:rPr>
              <w:t xml:space="preserve">The recommended dosage is </w:t>
            </w:r>
            <w:r w:rsidR="004F16D3">
              <w:rPr>
                <w:rFonts w:eastAsia="Arial"/>
                <w:sz w:val="20"/>
                <w:szCs w:val="20"/>
              </w:rPr>
              <w:t>based on patient body weight</w:t>
            </w:r>
            <w:r w:rsidR="00E10A22">
              <w:rPr>
                <w:rFonts w:eastAsia="Arial"/>
                <w:sz w:val="20"/>
                <w:szCs w:val="20"/>
              </w:rPr>
              <w:t xml:space="preserve"> and is </w:t>
            </w:r>
            <w:r w:rsidRPr="00C7112A">
              <w:rPr>
                <w:rFonts w:eastAsia="Arial"/>
                <w:sz w:val="20"/>
                <w:szCs w:val="20"/>
              </w:rPr>
              <w:t>administered as a subcutaneous</w:t>
            </w:r>
            <w:r w:rsidR="007A2D5F">
              <w:rPr>
                <w:rFonts w:eastAsia="Arial"/>
                <w:sz w:val="20"/>
                <w:szCs w:val="20"/>
              </w:rPr>
              <w:t xml:space="preserve"> </w:t>
            </w:r>
            <w:r w:rsidRPr="007A2D5F">
              <w:rPr>
                <w:rFonts w:eastAsia="Arial"/>
                <w:sz w:val="20"/>
                <w:szCs w:val="20"/>
              </w:rPr>
              <w:t xml:space="preserve">infusion </w:t>
            </w:r>
            <w:r w:rsidR="00D76ADD">
              <w:rPr>
                <w:rFonts w:eastAsia="Arial"/>
                <w:sz w:val="20"/>
                <w:szCs w:val="20"/>
              </w:rPr>
              <w:t>using an infusion pump rate of up to 20 mL/hour</w:t>
            </w:r>
            <w:r w:rsidR="00D76ADD" w:rsidRPr="007A2D5F">
              <w:rPr>
                <w:rFonts w:eastAsia="Arial"/>
                <w:sz w:val="20"/>
                <w:szCs w:val="20"/>
              </w:rPr>
              <w:t xml:space="preserve"> </w:t>
            </w:r>
            <w:r w:rsidRPr="007A2D5F">
              <w:rPr>
                <w:rFonts w:eastAsia="Arial"/>
                <w:sz w:val="20"/>
                <w:szCs w:val="20"/>
              </w:rPr>
              <w:t>once weekly for 6 weeks.</w:t>
            </w:r>
          </w:p>
          <w:p w14:paraId="0BFDA468" w14:textId="77777777" w:rsidR="007723CD" w:rsidRDefault="00C7112A" w:rsidP="00F71BD1">
            <w:pPr>
              <w:pStyle w:val="NoSpacing"/>
              <w:rPr>
                <w:rFonts w:eastAsia="Arial"/>
                <w:sz w:val="20"/>
                <w:szCs w:val="20"/>
              </w:rPr>
            </w:pPr>
            <w:r w:rsidRPr="007A2D5F">
              <w:rPr>
                <w:rFonts w:eastAsia="Arial"/>
                <w:sz w:val="20"/>
                <w:szCs w:val="20"/>
              </w:rPr>
              <w:t xml:space="preserve"> </w:t>
            </w:r>
          </w:p>
          <w:tbl>
            <w:tblPr>
              <w:tblStyle w:val="TableGrid"/>
              <w:tblpPr w:leftFromText="180" w:rightFromText="180" w:vertAnchor="text" w:horzAnchor="margin" w:tblpXSpec="center" w:tblpY="-61"/>
              <w:tblOverlap w:val="never"/>
              <w:tblW w:w="0" w:type="auto"/>
              <w:tblLayout w:type="fixed"/>
              <w:tblLook w:val="04A0" w:firstRow="1" w:lastRow="0" w:firstColumn="1" w:lastColumn="0" w:noHBand="0" w:noVBand="1"/>
            </w:tblPr>
            <w:tblGrid>
              <w:gridCol w:w="1660"/>
              <w:gridCol w:w="1451"/>
              <w:gridCol w:w="1530"/>
            </w:tblGrid>
            <w:tr w:rsidR="007723CD" w14:paraId="6EFEE052" w14:textId="77777777" w:rsidTr="00CC331C">
              <w:trPr>
                <w:trHeight w:val="261"/>
              </w:trPr>
              <w:tc>
                <w:tcPr>
                  <w:tcW w:w="1660" w:type="dxa"/>
                  <w:shd w:val="clear" w:color="auto" w:fill="FABF8F" w:themeFill="accent6" w:themeFillTint="99"/>
                </w:tcPr>
                <w:p w14:paraId="1C98DE29" w14:textId="77777777" w:rsidR="007723CD" w:rsidRPr="0095044D" w:rsidRDefault="007723CD" w:rsidP="007723CD">
                  <w:pPr>
                    <w:pStyle w:val="NoSpacing"/>
                    <w:jc w:val="center"/>
                    <w:rPr>
                      <w:rFonts w:eastAsia="Arial"/>
                      <w:b/>
                      <w:bCs/>
                      <w:sz w:val="20"/>
                      <w:szCs w:val="20"/>
                    </w:rPr>
                  </w:pPr>
                  <w:r>
                    <w:rPr>
                      <w:rFonts w:eastAsia="Arial"/>
                      <w:b/>
                      <w:bCs/>
                      <w:sz w:val="20"/>
                      <w:szCs w:val="20"/>
                    </w:rPr>
                    <w:t>Body</w:t>
                  </w:r>
                  <w:r w:rsidRPr="0095044D">
                    <w:rPr>
                      <w:rFonts w:eastAsia="Arial"/>
                      <w:b/>
                      <w:bCs/>
                      <w:sz w:val="20"/>
                      <w:szCs w:val="20"/>
                    </w:rPr>
                    <w:t xml:space="preserve"> Weight</w:t>
                  </w:r>
                </w:p>
              </w:tc>
              <w:tc>
                <w:tcPr>
                  <w:tcW w:w="1451" w:type="dxa"/>
                  <w:shd w:val="clear" w:color="auto" w:fill="FABF8F" w:themeFill="accent6" w:themeFillTint="99"/>
                </w:tcPr>
                <w:p w14:paraId="2F8F7D19" w14:textId="77777777" w:rsidR="007723CD" w:rsidRPr="0095044D" w:rsidRDefault="007723CD" w:rsidP="007723CD">
                  <w:pPr>
                    <w:pStyle w:val="NoSpacing"/>
                    <w:jc w:val="center"/>
                    <w:rPr>
                      <w:rFonts w:eastAsia="Arial"/>
                      <w:b/>
                      <w:bCs/>
                      <w:sz w:val="20"/>
                      <w:szCs w:val="20"/>
                    </w:rPr>
                  </w:pPr>
                  <w:r w:rsidRPr="0095044D">
                    <w:rPr>
                      <w:rFonts w:eastAsia="Arial"/>
                      <w:b/>
                      <w:bCs/>
                      <w:sz w:val="20"/>
                      <w:szCs w:val="20"/>
                    </w:rPr>
                    <w:t xml:space="preserve">Dose </w:t>
                  </w:r>
                </w:p>
              </w:tc>
              <w:tc>
                <w:tcPr>
                  <w:tcW w:w="1530" w:type="dxa"/>
                  <w:shd w:val="clear" w:color="auto" w:fill="FABF8F" w:themeFill="accent6" w:themeFillTint="99"/>
                </w:tcPr>
                <w:p w14:paraId="2EBEF662" w14:textId="77777777" w:rsidR="007723CD" w:rsidRPr="0095044D" w:rsidRDefault="007723CD" w:rsidP="007723CD">
                  <w:pPr>
                    <w:pStyle w:val="NoSpacing"/>
                    <w:jc w:val="center"/>
                    <w:rPr>
                      <w:rFonts w:eastAsia="Arial"/>
                      <w:b/>
                      <w:bCs/>
                      <w:sz w:val="20"/>
                      <w:szCs w:val="20"/>
                    </w:rPr>
                  </w:pPr>
                  <w:r>
                    <w:rPr>
                      <w:rFonts w:eastAsia="Arial"/>
                      <w:b/>
                      <w:bCs/>
                      <w:sz w:val="20"/>
                      <w:szCs w:val="20"/>
                    </w:rPr>
                    <w:t>Volume to be Infused</w:t>
                  </w:r>
                </w:p>
              </w:tc>
            </w:tr>
            <w:tr w:rsidR="007723CD" w14:paraId="04C436CB" w14:textId="77777777" w:rsidTr="00CC331C">
              <w:trPr>
                <w:trHeight w:val="278"/>
              </w:trPr>
              <w:tc>
                <w:tcPr>
                  <w:tcW w:w="1660" w:type="dxa"/>
                </w:tcPr>
                <w:p w14:paraId="42F09802" w14:textId="77777777" w:rsidR="007723CD" w:rsidRDefault="007723CD" w:rsidP="007723CD">
                  <w:pPr>
                    <w:pStyle w:val="NoSpacing"/>
                    <w:jc w:val="center"/>
                    <w:rPr>
                      <w:rFonts w:eastAsia="Arial"/>
                      <w:sz w:val="20"/>
                      <w:szCs w:val="20"/>
                    </w:rPr>
                  </w:pPr>
                  <w:r>
                    <w:rPr>
                      <w:rFonts w:eastAsia="Arial"/>
                      <w:sz w:val="20"/>
                      <w:szCs w:val="20"/>
                    </w:rPr>
                    <w:t>Less than 50 kg</w:t>
                  </w:r>
                </w:p>
              </w:tc>
              <w:tc>
                <w:tcPr>
                  <w:tcW w:w="1451" w:type="dxa"/>
                </w:tcPr>
                <w:p w14:paraId="2304660F" w14:textId="77777777" w:rsidR="007723CD" w:rsidRDefault="007723CD" w:rsidP="007723CD">
                  <w:pPr>
                    <w:pStyle w:val="NoSpacing"/>
                    <w:jc w:val="center"/>
                    <w:rPr>
                      <w:rFonts w:eastAsia="Arial"/>
                      <w:sz w:val="20"/>
                      <w:szCs w:val="20"/>
                    </w:rPr>
                  </w:pPr>
                  <w:r>
                    <w:rPr>
                      <w:rFonts w:eastAsia="Arial"/>
                      <w:sz w:val="20"/>
                      <w:szCs w:val="20"/>
                    </w:rPr>
                    <w:t>420 mg</w:t>
                  </w:r>
                </w:p>
              </w:tc>
              <w:tc>
                <w:tcPr>
                  <w:tcW w:w="1530" w:type="dxa"/>
                </w:tcPr>
                <w:p w14:paraId="7ACC2569" w14:textId="77777777" w:rsidR="007723CD" w:rsidRDefault="007723CD" w:rsidP="007723CD">
                  <w:pPr>
                    <w:pStyle w:val="NoSpacing"/>
                    <w:jc w:val="center"/>
                    <w:rPr>
                      <w:rFonts w:eastAsia="Arial"/>
                      <w:sz w:val="20"/>
                      <w:szCs w:val="20"/>
                    </w:rPr>
                  </w:pPr>
                  <w:r>
                    <w:rPr>
                      <w:rFonts w:eastAsia="Arial"/>
                      <w:sz w:val="20"/>
                      <w:szCs w:val="20"/>
                    </w:rPr>
                    <w:t>3 mL</w:t>
                  </w:r>
                </w:p>
              </w:tc>
            </w:tr>
            <w:tr w:rsidR="007723CD" w14:paraId="68D2740D" w14:textId="77777777" w:rsidTr="00CC331C">
              <w:trPr>
                <w:trHeight w:val="278"/>
              </w:trPr>
              <w:tc>
                <w:tcPr>
                  <w:tcW w:w="1660" w:type="dxa"/>
                </w:tcPr>
                <w:p w14:paraId="7676B0C8" w14:textId="77777777" w:rsidR="007723CD" w:rsidRDefault="007723CD" w:rsidP="007723CD">
                  <w:pPr>
                    <w:pStyle w:val="NoSpacing"/>
                    <w:jc w:val="center"/>
                    <w:rPr>
                      <w:rFonts w:eastAsia="Arial"/>
                      <w:sz w:val="20"/>
                      <w:szCs w:val="20"/>
                    </w:rPr>
                  </w:pPr>
                  <w:r>
                    <w:rPr>
                      <w:rFonts w:eastAsia="Arial"/>
                      <w:sz w:val="20"/>
                      <w:szCs w:val="20"/>
                    </w:rPr>
                    <w:t>50 kg to less than 100 kg</w:t>
                  </w:r>
                </w:p>
              </w:tc>
              <w:tc>
                <w:tcPr>
                  <w:tcW w:w="1451" w:type="dxa"/>
                </w:tcPr>
                <w:p w14:paraId="4268DAD9" w14:textId="77777777" w:rsidR="007723CD" w:rsidRDefault="007723CD" w:rsidP="007723CD">
                  <w:pPr>
                    <w:pStyle w:val="NoSpacing"/>
                    <w:jc w:val="center"/>
                    <w:rPr>
                      <w:rFonts w:eastAsia="Arial"/>
                      <w:sz w:val="20"/>
                      <w:szCs w:val="20"/>
                    </w:rPr>
                  </w:pPr>
                  <w:r>
                    <w:rPr>
                      <w:rFonts w:eastAsia="Arial"/>
                      <w:sz w:val="20"/>
                      <w:szCs w:val="20"/>
                    </w:rPr>
                    <w:t>560 mg</w:t>
                  </w:r>
                </w:p>
              </w:tc>
              <w:tc>
                <w:tcPr>
                  <w:tcW w:w="1530" w:type="dxa"/>
                </w:tcPr>
                <w:p w14:paraId="4BA089C7" w14:textId="77777777" w:rsidR="007723CD" w:rsidRDefault="007723CD" w:rsidP="007723CD">
                  <w:pPr>
                    <w:pStyle w:val="NoSpacing"/>
                    <w:jc w:val="center"/>
                    <w:rPr>
                      <w:rFonts w:eastAsia="Arial"/>
                      <w:sz w:val="20"/>
                      <w:szCs w:val="20"/>
                    </w:rPr>
                  </w:pPr>
                  <w:r>
                    <w:rPr>
                      <w:rFonts w:eastAsia="Arial"/>
                      <w:sz w:val="20"/>
                      <w:szCs w:val="20"/>
                    </w:rPr>
                    <w:t>4 mL</w:t>
                  </w:r>
                </w:p>
              </w:tc>
            </w:tr>
            <w:tr w:rsidR="007723CD" w14:paraId="476828D9" w14:textId="77777777" w:rsidTr="00CC331C">
              <w:trPr>
                <w:trHeight w:val="278"/>
              </w:trPr>
              <w:tc>
                <w:tcPr>
                  <w:tcW w:w="1660" w:type="dxa"/>
                </w:tcPr>
                <w:p w14:paraId="6CBB11FA" w14:textId="77777777" w:rsidR="007723CD" w:rsidRDefault="007723CD" w:rsidP="007723CD">
                  <w:pPr>
                    <w:pStyle w:val="NoSpacing"/>
                    <w:jc w:val="center"/>
                    <w:rPr>
                      <w:rFonts w:eastAsia="Arial"/>
                      <w:sz w:val="20"/>
                      <w:szCs w:val="20"/>
                    </w:rPr>
                  </w:pPr>
                  <w:r>
                    <w:rPr>
                      <w:rFonts w:eastAsia="Arial"/>
                      <w:sz w:val="20"/>
                      <w:szCs w:val="20"/>
                    </w:rPr>
                    <w:t>100 kg and above</w:t>
                  </w:r>
                </w:p>
              </w:tc>
              <w:tc>
                <w:tcPr>
                  <w:tcW w:w="1451" w:type="dxa"/>
                </w:tcPr>
                <w:p w14:paraId="5FAD9C4E" w14:textId="77777777" w:rsidR="007723CD" w:rsidRDefault="007723CD" w:rsidP="007723CD">
                  <w:pPr>
                    <w:pStyle w:val="NoSpacing"/>
                    <w:jc w:val="center"/>
                    <w:rPr>
                      <w:rFonts w:eastAsia="Arial"/>
                      <w:sz w:val="20"/>
                      <w:szCs w:val="20"/>
                    </w:rPr>
                  </w:pPr>
                  <w:r>
                    <w:rPr>
                      <w:rFonts w:eastAsia="Arial"/>
                      <w:sz w:val="20"/>
                      <w:szCs w:val="20"/>
                    </w:rPr>
                    <w:t xml:space="preserve">840 mg </w:t>
                  </w:r>
                </w:p>
              </w:tc>
              <w:tc>
                <w:tcPr>
                  <w:tcW w:w="1530" w:type="dxa"/>
                </w:tcPr>
                <w:p w14:paraId="2252392D" w14:textId="77777777" w:rsidR="007723CD" w:rsidRDefault="007723CD" w:rsidP="007723CD">
                  <w:pPr>
                    <w:pStyle w:val="NoSpacing"/>
                    <w:jc w:val="center"/>
                    <w:rPr>
                      <w:rFonts w:eastAsia="Arial"/>
                      <w:sz w:val="20"/>
                      <w:szCs w:val="20"/>
                    </w:rPr>
                  </w:pPr>
                  <w:r>
                    <w:rPr>
                      <w:rFonts w:eastAsia="Arial"/>
                      <w:sz w:val="20"/>
                      <w:szCs w:val="20"/>
                    </w:rPr>
                    <w:t>6 mL</w:t>
                  </w:r>
                </w:p>
              </w:tc>
            </w:tr>
          </w:tbl>
          <w:p w14:paraId="6085599F" w14:textId="4CB30CC4" w:rsidR="00294AFF" w:rsidRDefault="00294AFF" w:rsidP="00F71BD1">
            <w:pPr>
              <w:pStyle w:val="NoSpacing"/>
              <w:rPr>
                <w:rFonts w:eastAsia="Arial"/>
                <w:sz w:val="20"/>
                <w:szCs w:val="20"/>
              </w:rPr>
            </w:pPr>
          </w:p>
          <w:p w14:paraId="649C31F0" w14:textId="77777777" w:rsidR="007723CD" w:rsidRDefault="007723CD" w:rsidP="007723CD">
            <w:pPr>
              <w:pStyle w:val="NoSpacing"/>
              <w:rPr>
                <w:rFonts w:eastAsia="Arial"/>
                <w:sz w:val="20"/>
                <w:szCs w:val="20"/>
              </w:rPr>
            </w:pPr>
          </w:p>
          <w:p w14:paraId="16E7E526" w14:textId="77777777" w:rsidR="007723CD" w:rsidRDefault="007723CD" w:rsidP="007723CD">
            <w:pPr>
              <w:pStyle w:val="NoSpacing"/>
              <w:rPr>
                <w:rFonts w:eastAsia="Arial"/>
                <w:sz w:val="20"/>
                <w:szCs w:val="20"/>
              </w:rPr>
            </w:pPr>
          </w:p>
          <w:p w14:paraId="396BFCDC" w14:textId="77777777" w:rsidR="007723CD" w:rsidRDefault="007723CD" w:rsidP="007723CD">
            <w:pPr>
              <w:pStyle w:val="NoSpacing"/>
              <w:rPr>
                <w:rFonts w:eastAsia="Arial"/>
                <w:sz w:val="20"/>
                <w:szCs w:val="20"/>
              </w:rPr>
            </w:pPr>
          </w:p>
          <w:p w14:paraId="1A3C986E" w14:textId="77777777" w:rsidR="007723CD" w:rsidRDefault="007723CD" w:rsidP="007723CD">
            <w:pPr>
              <w:pStyle w:val="NoSpacing"/>
              <w:rPr>
                <w:rFonts w:eastAsia="Arial"/>
                <w:sz w:val="20"/>
                <w:szCs w:val="20"/>
              </w:rPr>
            </w:pPr>
          </w:p>
          <w:p w14:paraId="07E480B5" w14:textId="77777777" w:rsidR="007723CD" w:rsidRDefault="007723CD" w:rsidP="007723CD">
            <w:pPr>
              <w:pStyle w:val="NoSpacing"/>
              <w:rPr>
                <w:rFonts w:eastAsia="Arial"/>
                <w:sz w:val="20"/>
                <w:szCs w:val="20"/>
              </w:rPr>
            </w:pPr>
          </w:p>
          <w:p w14:paraId="477A0816" w14:textId="77777777" w:rsidR="007723CD" w:rsidRDefault="007723CD" w:rsidP="007723CD">
            <w:pPr>
              <w:pStyle w:val="NoSpacing"/>
              <w:rPr>
                <w:rFonts w:eastAsia="Arial"/>
                <w:sz w:val="20"/>
                <w:szCs w:val="20"/>
              </w:rPr>
            </w:pPr>
          </w:p>
          <w:p w14:paraId="06236054" w14:textId="77777777" w:rsidR="007723CD" w:rsidRDefault="007723CD" w:rsidP="007723CD">
            <w:pPr>
              <w:pStyle w:val="NoSpacing"/>
              <w:rPr>
                <w:rFonts w:eastAsia="Arial"/>
                <w:sz w:val="20"/>
                <w:szCs w:val="20"/>
              </w:rPr>
            </w:pPr>
          </w:p>
          <w:p w14:paraId="214ECBC5" w14:textId="7CC31F7E" w:rsidR="000B2FDA" w:rsidRDefault="007C65FC" w:rsidP="00F63010">
            <w:pPr>
              <w:pStyle w:val="NoSpacing"/>
              <w:numPr>
                <w:ilvl w:val="0"/>
                <w:numId w:val="27"/>
              </w:numPr>
              <w:rPr>
                <w:rFonts w:eastAsia="Arial"/>
                <w:sz w:val="20"/>
                <w:szCs w:val="20"/>
              </w:rPr>
            </w:pPr>
            <w:r>
              <w:rPr>
                <w:rFonts w:eastAsia="Arial"/>
                <w:sz w:val="20"/>
                <w:szCs w:val="20"/>
              </w:rPr>
              <w:t>Missed doses may be administered up to 4 days after the scheduled time point</w:t>
            </w:r>
            <w:r w:rsidR="009B0BBC">
              <w:rPr>
                <w:rFonts w:eastAsia="Arial"/>
                <w:sz w:val="20"/>
                <w:szCs w:val="20"/>
              </w:rPr>
              <w:t>. Thereafter, resume the original dosing schedule unt</w:t>
            </w:r>
            <w:r w:rsidR="00F70F9B">
              <w:rPr>
                <w:rFonts w:eastAsia="Arial"/>
                <w:sz w:val="20"/>
                <w:szCs w:val="20"/>
              </w:rPr>
              <w:t>il the treatment cycle is completed.</w:t>
            </w:r>
          </w:p>
          <w:p w14:paraId="705C6663" w14:textId="092310F9" w:rsidR="00ED31F8" w:rsidRDefault="00B84334" w:rsidP="00F63010">
            <w:pPr>
              <w:pStyle w:val="NoSpacing"/>
              <w:numPr>
                <w:ilvl w:val="0"/>
                <w:numId w:val="27"/>
              </w:numPr>
              <w:rPr>
                <w:rFonts w:eastAsia="Arial"/>
                <w:sz w:val="20"/>
                <w:szCs w:val="20"/>
              </w:rPr>
            </w:pPr>
            <w:r w:rsidRPr="00B84334">
              <w:rPr>
                <w:rFonts w:eastAsia="Arial"/>
                <w:sz w:val="20"/>
                <w:szCs w:val="20"/>
              </w:rPr>
              <w:t>Administer subsequent treatment cycles based on clinical</w:t>
            </w:r>
            <w:r>
              <w:rPr>
                <w:rFonts w:eastAsia="Arial"/>
                <w:sz w:val="20"/>
                <w:szCs w:val="20"/>
              </w:rPr>
              <w:t xml:space="preserve"> </w:t>
            </w:r>
            <w:r w:rsidRPr="00B84334">
              <w:rPr>
                <w:rFonts w:eastAsia="Arial"/>
                <w:sz w:val="20"/>
                <w:szCs w:val="20"/>
              </w:rPr>
              <w:t>evaluation; the safety of</w:t>
            </w:r>
            <w:r>
              <w:rPr>
                <w:rFonts w:eastAsia="Arial"/>
                <w:sz w:val="20"/>
                <w:szCs w:val="20"/>
              </w:rPr>
              <w:t xml:space="preserve"> </w:t>
            </w:r>
            <w:r w:rsidRPr="00B84334">
              <w:rPr>
                <w:rFonts w:eastAsia="Arial"/>
                <w:sz w:val="20"/>
                <w:szCs w:val="20"/>
              </w:rPr>
              <w:t>initiating subsequent cycles sooner than</w:t>
            </w:r>
            <w:r w:rsidR="00F63010">
              <w:rPr>
                <w:rFonts w:eastAsia="Arial"/>
                <w:sz w:val="20"/>
                <w:szCs w:val="20"/>
              </w:rPr>
              <w:t xml:space="preserve"> </w:t>
            </w:r>
            <w:r w:rsidRPr="00F63010">
              <w:rPr>
                <w:rFonts w:eastAsia="Arial"/>
                <w:sz w:val="20"/>
                <w:szCs w:val="20"/>
              </w:rPr>
              <w:t>63 days from the start of the previous treatment cycle has not</w:t>
            </w:r>
            <w:r w:rsidR="00F63010">
              <w:rPr>
                <w:rFonts w:eastAsia="Arial"/>
                <w:sz w:val="20"/>
                <w:szCs w:val="20"/>
              </w:rPr>
              <w:t xml:space="preserve"> </w:t>
            </w:r>
            <w:r w:rsidRPr="00F63010">
              <w:rPr>
                <w:rFonts w:eastAsia="Arial"/>
                <w:sz w:val="20"/>
                <w:szCs w:val="20"/>
              </w:rPr>
              <w:t>been established</w:t>
            </w:r>
            <w:r w:rsidR="00F63010">
              <w:rPr>
                <w:rFonts w:eastAsia="Arial"/>
                <w:sz w:val="20"/>
                <w:szCs w:val="20"/>
              </w:rPr>
              <w:t>.</w:t>
            </w:r>
          </w:p>
          <w:p w14:paraId="5C706CE0" w14:textId="7C2D0140" w:rsidR="00ED5C01" w:rsidRDefault="00ED5C01" w:rsidP="00F63010">
            <w:pPr>
              <w:pStyle w:val="NoSpacing"/>
              <w:numPr>
                <w:ilvl w:val="0"/>
                <w:numId w:val="27"/>
              </w:numPr>
              <w:rPr>
                <w:rFonts w:eastAsia="Arial"/>
                <w:sz w:val="20"/>
                <w:szCs w:val="20"/>
              </w:rPr>
            </w:pPr>
            <w:r>
              <w:rPr>
                <w:rFonts w:eastAsia="Arial"/>
                <w:sz w:val="20"/>
                <w:szCs w:val="20"/>
              </w:rPr>
              <w:t>Preparation and Administration</w:t>
            </w:r>
          </w:p>
          <w:p w14:paraId="45DE0BBB" w14:textId="50603CF6" w:rsidR="00ED5C01" w:rsidRPr="00295395" w:rsidRDefault="00955B5D" w:rsidP="00295395">
            <w:pPr>
              <w:pStyle w:val="NoSpacing"/>
              <w:numPr>
                <w:ilvl w:val="1"/>
                <w:numId w:val="27"/>
              </w:numPr>
              <w:rPr>
                <w:rFonts w:eastAsia="Arial"/>
                <w:sz w:val="20"/>
                <w:szCs w:val="20"/>
              </w:rPr>
            </w:pPr>
            <w:r>
              <w:rPr>
                <w:rFonts w:eastAsia="Arial"/>
                <w:sz w:val="20"/>
                <w:szCs w:val="20"/>
              </w:rPr>
              <w:t>Allow vials to reach room temperature for approximately 30 minutes</w:t>
            </w:r>
            <w:r w:rsidR="002F0480">
              <w:rPr>
                <w:rFonts w:eastAsia="Arial"/>
                <w:sz w:val="20"/>
                <w:szCs w:val="20"/>
              </w:rPr>
              <w:t>. Keep vials in original carton to protect from light</w:t>
            </w:r>
            <w:r w:rsidR="00E40602">
              <w:rPr>
                <w:rFonts w:eastAsia="Arial"/>
                <w:sz w:val="20"/>
                <w:szCs w:val="20"/>
              </w:rPr>
              <w:t xml:space="preserve"> until ready to use.</w:t>
            </w:r>
            <w:r w:rsidR="002F0480">
              <w:rPr>
                <w:rFonts w:eastAsia="Arial"/>
                <w:sz w:val="20"/>
                <w:szCs w:val="20"/>
              </w:rPr>
              <w:t xml:space="preserve"> </w:t>
            </w:r>
            <w:r w:rsidR="00537F96">
              <w:rPr>
                <w:rFonts w:eastAsia="Arial"/>
                <w:sz w:val="20"/>
                <w:szCs w:val="20"/>
              </w:rPr>
              <w:t xml:space="preserve">Vials </w:t>
            </w:r>
            <w:r w:rsidR="00295395" w:rsidRPr="00295395">
              <w:rPr>
                <w:rFonts w:eastAsia="Arial"/>
                <w:sz w:val="20"/>
                <w:szCs w:val="20"/>
              </w:rPr>
              <w:t>should be inspected visually for particulate matter and</w:t>
            </w:r>
            <w:r w:rsidR="00295395">
              <w:rPr>
                <w:rFonts w:eastAsia="Arial"/>
                <w:sz w:val="20"/>
                <w:szCs w:val="20"/>
              </w:rPr>
              <w:t xml:space="preserve"> </w:t>
            </w:r>
            <w:r w:rsidR="00295395" w:rsidRPr="00295395">
              <w:rPr>
                <w:rFonts w:eastAsia="Arial"/>
                <w:sz w:val="20"/>
                <w:szCs w:val="20"/>
              </w:rPr>
              <w:t>discoloration prior to administration</w:t>
            </w:r>
            <w:r w:rsidR="00537F96">
              <w:rPr>
                <w:rFonts w:eastAsia="Arial"/>
                <w:sz w:val="20"/>
                <w:szCs w:val="20"/>
              </w:rPr>
              <w:t>.</w:t>
            </w:r>
          </w:p>
          <w:p w14:paraId="7BE65DF3" w14:textId="6ACB07D3" w:rsidR="00EB4D78" w:rsidRDefault="00F52EF9" w:rsidP="00F52EF9">
            <w:pPr>
              <w:pStyle w:val="NoSpacing"/>
              <w:numPr>
                <w:ilvl w:val="1"/>
                <w:numId w:val="27"/>
              </w:numPr>
              <w:rPr>
                <w:rFonts w:eastAsia="Arial"/>
                <w:sz w:val="20"/>
                <w:szCs w:val="20"/>
              </w:rPr>
            </w:pPr>
            <w:r w:rsidRPr="00F52EF9">
              <w:rPr>
                <w:rFonts w:eastAsia="Arial"/>
                <w:sz w:val="20"/>
                <w:szCs w:val="20"/>
              </w:rPr>
              <w:t xml:space="preserve">Infuse </w:t>
            </w:r>
            <w:proofErr w:type="spellStart"/>
            <w:r w:rsidRPr="00F52EF9">
              <w:rPr>
                <w:rFonts w:eastAsia="Arial"/>
                <w:sz w:val="20"/>
                <w:szCs w:val="20"/>
              </w:rPr>
              <w:t>Rystiggo</w:t>
            </w:r>
            <w:proofErr w:type="spellEnd"/>
            <w:r w:rsidRPr="00F52EF9">
              <w:rPr>
                <w:rFonts w:eastAsia="Arial"/>
                <w:sz w:val="20"/>
                <w:szCs w:val="20"/>
              </w:rPr>
              <w:t xml:space="preserve"> within 4 hours of puncturing the vial</w:t>
            </w:r>
            <w:r w:rsidR="00AC3745">
              <w:rPr>
                <w:rFonts w:eastAsia="Arial"/>
                <w:sz w:val="20"/>
                <w:szCs w:val="20"/>
              </w:rPr>
              <w:t xml:space="preserve"> and administer </w:t>
            </w:r>
            <w:r w:rsidRPr="00F52EF9">
              <w:rPr>
                <w:rFonts w:eastAsia="Arial"/>
                <w:sz w:val="20"/>
                <w:szCs w:val="20"/>
              </w:rPr>
              <w:t>immediately after priming the infusion set.</w:t>
            </w:r>
          </w:p>
          <w:p w14:paraId="1F6B8A65" w14:textId="77777777" w:rsidR="00CF5C2E" w:rsidRDefault="00CF5C2E" w:rsidP="00CF5C2E">
            <w:pPr>
              <w:pStyle w:val="NoSpacing"/>
              <w:numPr>
                <w:ilvl w:val="1"/>
                <w:numId w:val="27"/>
              </w:numPr>
              <w:rPr>
                <w:rFonts w:eastAsia="Arial"/>
                <w:sz w:val="20"/>
                <w:szCs w:val="20"/>
              </w:rPr>
            </w:pPr>
            <w:r w:rsidRPr="004E6C1E">
              <w:rPr>
                <w:rFonts w:eastAsia="Arial"/>
                <w:sz w:val="20"/>
                <w:szCs w:val="20"/>
              </w:rPr>
              <w:t>Infuse</w:t>
            </w:r>
            <w:r>
              <w:rPr>
                <w:rFonts w:eastAsia="Arial"/>
                <w:sz w:val="20"/>
                <w:szCs w:val="20"/>
              </w:rPr>
              <w:t xml:space="preserve"> </w:t>
            </w:r>
            <w:r w:rsidRPr="004E6C1E">
              <w:rPr>
                <w:rFonts w:eastAsia="Arial"/>
                <w:sz w:val="20"/>
                <w:szCs w:val="20"/>
              </w:rPr>
              <w:t>at a constant flow rate up to 20 mL/hour.</w:t>
            </w:r>
          </w:p>
          <w:p w14:paraId="6F5F3D77" w14:textId="1FF1F339" w:rsidR="00C917F3" w:rsidRDefault="000D04F7" w:rsidP="004E2822">
            <w:pPr>
              <w:pStyle w:val="NoSpacing"/>
              <w:numPr>
                <w:ilvl w:val="2"/>
                <w:numId w:val="28"/>
              </w:numPr>
              <w:rPr>
                <w:rFonts w:eastAsia="Arial"/>
                <w:sz w:val="20"/>
                <w:szCs w:val="20"/>
              </w:rPr>
            </w:pPr>
            <w:r w:rsidRPr="000D04F7">
              <w:rPr>
                <w:rFonts w:eastAsia="Arial"/>
                <w:sz w:val="20"/>
                <w:szCs w:val="20"/>
              </w:rPr>
              <w:t>Choose an infusion site in the lower right or lower left part of the abdomen below</w:t>
            </w:r>
            <w:r>
              <w:rPr>
                <w:rFonts w:eastAsia="Arial"/>
                <w:sz w:val="20"/>
                <w:szCs w:val="20"/>
              </w:rPr>
              <w:t xml:space="preserve"> </w:t>
            </w:r>
            <w:r w:rsidRPr="000D04F7">
              <w:rPr>
                <w:rFonts w:eastAsia="Arial"/>
                <w:sz w:val="20"/>
                <w:szCs w:val="20"/>
              </w:rPr>
              <w:t>the navel</w:t>
            </w:r>
            <w:r w:rsidR="004E6C1E">
              <w:rPr>
                <w:rFonts w:eastAsia="Arial"/>
                <w:sz w:val="20"/>
                <w:szCs w:val="20"/>
              </w:rPr>
              <w:t xml:space="preserve">. </w:t>
            </w:r>
            <w:r w:rsidRPr="000D04F7">
              <w:rPr>
                <w:rFonts w:eastAsia="Arial"/>
                <w:sz w:val="20"/>
                <w:szCs w:val="20"/>
              </w:rPr>
              <w:t xml:space="preserve">Avoid </w:t>
            </w:r>
            <w:proofErr w:type="gramStart"/>
            <w:r w:rsidRPr="000D04F7">
              <w:rPr>
                <w:rFonts w:eastAsia="Arial"/>
                <w:sz w:val="20"/>
                <w:szCs w:val="20"/>
              </w:rPr>
              <w:t>infusing into</w:t>
            </w:r>
            <w:proofErr w:type="gramEnd"/>
            <w:r w:rsidRPr="000D04F7">
              <w:rPr>
                <w:rFonts w:eastAsia="Arial"/>
                <w:sz w:val="20"/>
                <w:szCs w:val="20"/>
              </w:rPr>
              <w:t xml:space="preserve"> tattoos, scars, or stretch marks. Rotate</w:t>
            </w:r>
            <w:r>
              <w:rPr>
                <w:rFonts w:eastAsia="Arial"/>
                <w:sz w:val="20"/>
                <w:szCs w:val="20"/>
              </w:rPr>
              <w:t xml:space="preserve"> </w:t>
            </w:r>
            <w:r w:rsidRPr="000D04F7">
              <w:rPr>
                <w:rFonts w:eastAsia="Arial"/>
                <w:sz w:val="20"/>
                <w:szCs w:val="20"/>
              </w:rPr>
              <w:t>infusion sites for subsequent administrations.</w:t>
            </w:r>
          </w:p>
          <w:p w14:paraId="7B31A18E" w14:textId="0A64E77E" w:rsidR="00336C06" w:rsidRDefault="002545BD" w:rsidP="004E2822">
            <w:pPr>
              <w:pStyle w:val="NoSpacing"/>
              <w:numPr>
                <w:ilvl w:val="2"/>
                <w:numId w:val="28"/>
              </w:numPr>
              <w:rPr>
                <w:rFonts w:eastAsia="Arial"/>
                <w:sz w:val="20"/>
                <w:szCs w:val="20"/>
              </w:rPr>
            </w:pPr>
            <w:r w:rsidRPr="002545BD">
              <w:rPr>
                <w:rFonts w:eastAsia="Arial"/>
                <w:sz w:val="20"/>
                <w:szCs w:val="20"/>
              </w:rPr>
              <w:t>Monitor during administration and for 15 minutes after completion for</w:t>
            </w:r>
            <w:r>
              <w:rPr>
                <w:rFonts w:eastAsia="Arial"/>
                <w:sz w:val="20"/>
                <w:szCs w:val="20"/>
              </w:rPr>
              <w:t xml:space="preserve"> </w:t>
            </w:r>
            <w:r w:rsidRPr="002545BD">
              <w:rPr>
                <w:rFonts w:eastAsia="Arial"/>
                <w:sz w:val="20"/>
                <w:szCs w:val="20"/>
              </w:rPr>
              <w:t>clinical signs and symptoms of hypersensitivity reactions.</w:t>
            </w:r>
          </w:p>
          <w:p w14:paraId="50ACF1CB" w14:textId="7D3554FD" w:rsidR="00DE3D74" w:rsidRPr="00DE3D74" w:rsidRDefault="00DE3D74" w:rsidP="004E2822">
            <w:pPr>
              <w:pStyle w:val="NoSpacing"/>
              <w:numPr>
                <w:ilvl w:val="2"/>
                <w:numId w:val="28"/>
              </w:numPr>
              <w:rPr>
                <w:rFonts w:eastAsia="Arial"/>
                <w:sz w:val="20"/>
                <w:szCs w:val="20"/>
              </w:rPr>
            </w:pPr>
            <w:r w:rsidRPr="00DE3D74">
              <w:rPr>
                <w:rFonts w:eastAsia="Arial"/>
                <w:sz w:val="20"/>
                <w:szCs w:val="20"/>
              </w:rPr>
              <w:t>When the infusion is complete, do not flush the infusion line as the volume of</w:t>
            </w:r>
            <w:r>
              <w:rPr>
                <w:rFonts w:eastAsia="Arial"/>
                <w:sz w:val="20"/>
                <w:szCs w:val="20"/>
              </w:rPr>
              <w:t xml:space="preserve"> </w:t>
            </w:r>
            <w:r w:rsidRPr="00DE3D74">
              <w:rPr>
                <w:rFonts w:eastAsia="Arial"/>
                <w:sz w:val="20"/>
                <w:szCs w:val="20"/>
              </w:rPr>
              <w:t xml:space="preserve">infusion has been adjusted </w:t>
            </w:r>
            <w:proofErr w:type="gramStart"/>
            <w:r w:rsidRPr="00DE3D74">
              <w:rPr>
                <w:rFonts w:eastAsia="Arial"/>
                <w:sz w:val="20"/>
                <w:szCs w:val="20"/>
              </w:rPr>
              <w:t>taking into account</w:t>
            </w:r>
            <w:proofErr w:type="gramEnd"/>
            <w:r w:rsidRPr="00DE3D74">
              <w:rPr>
                <w:rFonts w:eastAsia="Arial"/>
                <w:sz w:val="20"/>
                <w:szCs w:val="20"/>
              </w:rPr>
              <w:t xml:space="preserve"> the losses in the line.</w:t>
            </w:r>
          </w:p>
          <w:p w14:paraId="1E855BA0" w14:textId="6B6DE115" w:rsidR="0075124C" w:rsidRPr="007A2D5F" w:rsidRDefault="0075124C" w:rsidP="0075124C">
            <w:pPr>
              <w:pStyle w:val="NoSpacing"/>
              <w:ind w:left="360"/>
              <w:rPr>
                <w:rFonts w:eastAsia="Arial"/>
                <w:sz w:val="20"/>
                <w:szCs w:val="20"/>
              </w:rPr>
            </w:pPr>
          </w:p>
        </w:tc>
      </w:tr>
      <w:tr w:rsidR="0089062E" w:rsidRPr="00417F7D" w14:paraId="72455FD4" w14:textId="77777777" w:rsidTr="151A7E19">
        <w:trPr>
          <w:trHeight w:val="44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27220DE1" w14:textId="279A2EC6" w:rsidR="0089062E" w:rsidRPr="00417F7D" w:rsidRDefault="0089062E" w:rsidP="0089062E">
            <w:pPr>
              <w:tabs>
                <w:tab w:val="left" w:pos="2400"/>
              </w:tabs>
              <w:suppressAutoHyphens/>
              <w:spacing w:before="60" w:after="60" w:line="220" w:lineRule="exact"/>
              <w:rPr>
                <w:b/>
                <w:color w:val="FFFFFF"/>
                <w:sz w:val="20"/>
                <w:szCs w:val="20"/>
              </w:rPr>
            </w:pPr>
            <w:r w:rsidRPr="00417F7D">
              <w:rPr>
                <w:b/>
                <w:bCs/>
                <w:color w:val="FFFFFF"/>
                <w:sz w:val="20"/>
                <w:szCs w:val="20"/>
              </w:rPr>
              <w:lastRenderedPageBreak/>
              <w:t>Disease State Clinical Highlights: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6936CE4D" w14:textId="27A86C55" w:rsidR="00183024" w:rsidRPr="00183024" w:rsidRDefault="00B275D0" w:rsidP="0089062E">
            <w:pPr>
              <w:pStyle w:val="NoSpacing"/>
              <w:numPr>
                <w:ilvl w:val="0"/>
                <w:numId w:val="20"/>
              </w:numPr>
              <w:rPr>
                <w:color w:val="000000" w:themeColor="text1"/>
                <w:sz w:val="20"/>
                <w:szCs w:val="20"/>
              </w:rPr>
            </w:pPr>
            <w:r w:rsidRPr="00B275D0">
              <w:rPr>
                <w:color w:val="000000" w:themeColor="text1"/>
                <w:sz w:val="20"/>
                <w:szCs w:val="20"/>
              </w:rPr>
              <w:t xml:space="preserve">Myasthenia gravis (MG) is an autoimmune neuromuscular </w:t>
            </w:r>
            <w:r w:rsidR="00C6391C">
              <w:rPr>
                <w:color w:val="000000" w:themeColor="text1"/>
                <w:sz w:val="20"/>
                <w:szCs w:val="20"/>
              </w:rPr>
              <w:t xml:space="preserve">transmission </w:t>
            </w:r>
            <w:r w:rsidRPr="00B275D0">
              <w:rPr>
                <w:color w:val="000000" w:themeColor="text1"/>
                <w:sz w:val="20"/>
                <w:szCs w:val="20"/>
              </w:rPr>
              <w:t>disorder characterized by fluctuating</w:t>
            </w:r>
            <w:r w:rsidR="009B0D65">
              <w:rPr>
                <w:color w:val="000000" w:themeColor="text1"/>
                <w:sz w:val="20"/>
                <w:szCs w:val="20"/>
              </w:rPr>
              <w:t xml:space="preserve"> </w:t>
            </w:r>
            <w:r w:rsidRPr="00B275D0">
              <w:rPr>
                <w:color w:val="000000" w:themeColor="text1"/>
                <w:sz w:val="20"/>
                <w:szCs w:val="20"/>
              </w:rPr>
              <w:t>weakness in ocular, bulbar, limb, and/or respiratory muscles</w:t>
            </w:r>
            <w:r w:rsidR="009A7746">
              <w:rPr>
                <w:color w:val="000000" w:themeColor="text1"/>
                <w:sz w:val="20"/>
                <w:szCs w:val="20"/>
              </w:rPr>
              <w:t xml:space="preserve"> due to an antibody-mediated immunologic attack directed at acetylcholine receptors (</w:t>
            </w:r>
            <w:proofErr w:type="spellStart"/>
            <w:r w:rsidR="009A7746">
              <w:rPr>
                <w:color w:val="000000" w:themeColor="text1"/>
                <w:sz w:val="20"/>
                <w:szCs w:val="20"/>
              </w:rPr>
              <w:t>AChR</w:t>
            </w:r>
            <w:proofErr w:type="spellEnd"/>
            <w:r w:rsidR="009A7746">
              <w:rPr>
                <w:color w:val="000000" w:themeColor="text1"/>
                <w:sz w:val="20"/>
                <w:szCs w:val="20"/>
              </w:rPr>
              <w:t>) or muscle-specific tyrosine kinase (</w:t>
            </w:r>
            <w:proofErr w:type="spellStart"/>
            <w:r w:rsidR="009A7746">
              <w:rPr>
                <w:color w:val="000000" w:themeColor="text1"/>
                <w:sz w:val="20"/>
                <w:szCs w:val="20"/>
              </w:rPr>
              <w:t>MuSK</w:t>
            </w:r>
            <w:proofErr w:type="spellEnd"/>
            <w:r w:rsidR="009A7746">
              <w:rPr>
                <w:color w:val="000000" w:themeColor="text1"/>
                <w:sz w:val="20"/>
                <w:szCs w:val="20"/>
              </w:rPr>
              <w:t>) receptors</w:t>
            </w:r>
            <w:r w:rsidRPr="00B275D0">
              <w:rPr>
                <w:color w:val="000000" w:themeColor="text1"/>
                <w:sz w:val="20"/>
                <w:szCs w:val="20"/>
              </w:rPr>
              <w:t>.</w:t>
            </w:r>
            <w:r w:rsidR="003733BA">
              <w:rPr>
                <w:color w:val="000000" w:themeColor="text1"/>
                <w:sz w:val="20"/>
                <w:szCs w:val="20"/>
              </w:rPr>
              <w:t xml:space="preserve"> </w:t>
            </w:r>
            <w:r w:rsidR="001E09A2">
              <w:rPr>
                <w:color w:val="000000" w:themeColor="text1"/>
                <w:sz w:val="20"/>
                <w:szCs w:val="20"/>
              </w:rPr>
              <w:t>T</w:t>
            </w:r>
            <w:r w:rsidR="005014D0">
              <w:rPr>
                <w:color w:val="000000" w:themeColor="text1"/>
                <w:sz w:val="20"/>
                <w:szCs w:val="20"/>
              </w:rPr>
              <w:t>he</w:t>
            </w:r>
            <w:r w:rsidR="00B4740A">
              <w:rPr>
                <w:color w:val="000000" w:themeColor="text1"/>
                <w:sz w:val="20"/>
                <w:szCs w:val="20"/>
              </w:rPr>
              <w:t>re are</w:t>
            </w:r>
            <w:r w:rsidR="005014D0">
              <w:rPr>
                <w:color w:val="000000" w:themeColor="text1"/>
                <w:sz w:val="20"/>
                <w:szCs w:val="20"/>
              </w:rPr>
              <w:t xml:space="preserve"> two clinical forms of MG</w:t>
            </w:r>
            <w:r w:rsidR="005B6DCB">
              <w:rPr>
                <w:color w:val="000000" w:themeColor="text1"/>
                <w:sz w:val="20"/>
                <w:szCs w:val="20"/>
              </w:rPr>
              <w:t>: ocular and generalized. In</w:t>
            </w:r>
            <w:r w:rsidR="00506BB2">
              <w:rPr>
                <w:color w:val="000000" w:themeColor="text1"/>
                <w:sz w:val="20"/>
                <w:szCs w:val="20"/>
              </w:rPr>
              <w:t xml:space="preserve"> </w:t>
            </w:r>
            <w:r w:rsidR="005B6DCB">
              <w:rPr>
                <w:color w:val="000000" w:themeColor="text1"/>
                <w:sz w:val="20"/>
                <w:szCs w:val="20"/>
              </w:rPr>
              <w:t>o</w:t>
            </w:r>
            <w:r w:rsidR="00B5727C">
              <w:rPr>
                <w:color w:val="000000" w:themeColor="text1"/>
                <w:sz w:val="20"/>
                <w:szCs w:val="20"/>
              </w:rPr>
              <w:t>cular</w:t>
            </w:r>
            <w:r w:rsidR="005014D0">
              <w:rPr>
                <w:color w:val="000000" w:themeColor="text1"/>
                <w:sz w:val="20"/>
                <w:szCs w:val="20"/>
              </w:rPr>
              <w:t xml:space="preserve"> MG</w:t>
            </w:r>
            <w:r w:rsidR="009E60F8">
              <w:rPr>
                <w:color w:val="000000" w:themeColor="text1"/>
                <w:sz w:val="20"/>
                <w:szCs w:val="20"/>
              </w:rPr>
              <w:t>,</w:t>
            </w:r>
            <w:r w:rsidR="00B5727C">
              <w:rPr>
                <w:color w:val="000000" w:themeColor="text1"/>
                <w:sz w:val="20"/>
                <w:szCs w:val="20"/>
              </w:rPr>
              <w:t xml:space="preserve"> weakness </w:t>
            </w:r>
            <w:r w:rsidR="00E44C45">
              <w:rPr>
                <w:color w:val="000000" w:themeColor="text1"/>
                <w:sz w:val="20"/>
                <w:szCs w:val="20"/>
              </w:rPr>
              <w:t xml:space="preserve">is </w:t>
            </w:r>
            <w:r w:rsidR="00B5727C">
              <w:rPr>
                <w:color w:val="000000" w:themeColor="text1"/>
                <w:sz w:val="20"/>
                <w:szCs w:val="20"/>
              </w:rPr>
              <w:t>l</w:t>
            </w:r>
            <w:r w:rsidR="00280B1F">
              <w:rPr>
                <w:color w:val="000000" w:themeColor="text1"/>
                <w:sz w:val="20"/>
                <w:szCs w:val="20"/>
              </w:rPr>
              <w:t xml:space="preserve">imited to </w:t>
            </w:r>
            <w:r w:rsidR="00E44C45">
              <w:rPr>
                <w:color w:val="000000" w:themeColor="text1"/>
                <w:sz w:val="20"/>
                <w:szCs w:val="20"/>
              </w:rPr>
              <w:t xml:space="preserve">the </w:t>
            </w:r>
            <w:r w:rsidR="00280B1F">
              <w:rPr>
                <w:color w:val="000000" w:themeColor="text1"/>
                <w:sz w:val="20"/>
                <w:szCs w:val="20"/>
              </w:rPr>
              <w:t>eyelids and extraocular muscles</w:t>
            </w:r>
            <w:r w:rsidR="00E44C45">
              <w:rPr>
                <w:color w:val="000000" w:themeColor="text1"/>
                <w:sz w:val="20"/>
                <w:szCs w:val="20"/>
              </w:rPr>
              <w:t>. In g</w:t>
            </w:r>
            <w:r w:rsidR="00B5727C">
              <w:rPr>
                <w:color w:val="000000" w:themeColor="text1"/>
                <w:sz w:val="20"/>
                <w:szCs w:val="20"/>
              </w:rPr>
              <w:t>eneralized</w:t>
            </w:r>
            <w:r w:rsidR="00280B1F">
              <w:rPr>
                <w:color w:val="000000" w:themeColor="text1"/>
                <w:sz w:val="20"/>
                <w:szCs w:val="20"/>
              </w:rPr>
              <w:t xml:space="preserve"> </w:t>
            </w:r>
            <w:r w:rsidR="00E44C45">
              <w:rPr>
                <w:color w:val="000000" w:themeColor="text1"/>
                <w:sz w:val="20"/>
                <w:szCs w:val="20"/>
              </w:rPr>
              <w:t>MG (</w:t>
            </w:r>
            <w:proofErr w:type="spellStart"/>
            <w:r w:rsidR="00E44C45">
              <w:rPr>
                <w:color w:val="000000" w:themeColor="text1"/>
                <w:sz w:val="20"/>
                <w:szCs w:val="20"/>
              </w:rPr>
              <w:t>gMG</w:t>
            </w:r>
            <w:proofErr w:type="spellEnd"/>
            <w:r w:rsidR="00E44C45">
              <w:rPr>
                <w:color w:val="000000" w:themeColor="text1"/>
                <w:sz w:val="20"/>
                <w:szCs w:val="20"/>
              </w:rPr>
              <w:t xml:space="preserve">), </w:t>
            </w:r>
            <w:r w:rsidR="00280B1F">
              <w:rPr>
                <w:color w:val="000000" w:themeColor="text1"/>
                <w:sz w:val="20"/>
                <w:szCs w:val="20"/>
              </w:rPr>
              <w:t xml:space="preserve">weakness involves </w:t>
            </w:r>
            <w:r w:rsidR="00E44C45">
              <w:rPr>
                <w:color w:val="000000" w:themeColor="text1"/>
                <w:sz w:val="20"/>
                <w:szCs w:val="20"/>
              </w:rPr>
              <w:t xml:space="preserve">a </w:t>
            </w:r>
            <w:r w:rsidR="00280B1F">
              <w:rPr>
                <w:color w:val="000000" w:themeColor="text1"/>
                <w:sz w:val="20"/>
                <w:szCs w:val="20"/>
              </w:rPr>
              <w:t>variable combination</w:t>
            </w:r>
            <w:r w:rsidR="00447870">
              <w:rPr>
                <w:color w:val="000000" w:themeColor="text1"/>
                <w:sz w:val="20"/>
                <w:szCs w:val="20"/>
              </w:rPr>
              <w:t xml:space="preserve"> of ocular, bulbar, limb and respiratory muscles</w:t>
            </w:r>
            <w:r w:rsidR="00B5727C">
              <w:rPr>
                <w:color w:val="000000" w:themeColor="text1"/>
                <w:sz w:val="20"/>
                <w:szCs w:val="20"/>
              </w:rPr>
              <w:t>.</w:t>
            </w:r>
            <w:r w:rsidR="00F76296">
              <w:rPr>
                <w:color w:val="000000" w:themeColor="text1"/>
                <w:sz w:val="20"/>
                <w:szCs w:val="20"/>
              </w:rPr>
              <w:t xml:space="preserve"> </w:t>
            </w:r>
          </w:p>
          <w:p w14:paraId="4FA40753" w14:textId="118D1135" w:rsidR="0075533C" w:rsidRPr="00B57753" w:rsidRDefault="00913FB6" w:rsidP="00B57753">
            <w:pPr>
              <w:pStyle w:val="NoSpacing"/>
              <w:numPr>
                <w:ilvl w:val="0"/>
                <w:numId w:val="20"/>
              </w:numPr>
              <w:rPr>
                <w:color w:val="000000" w:themeColor="text1"/>
                <w:sz w:val="20"/>
                <w:szCs w:val="20"/>
              </w:rPr>
            </w:pPr>
            <w:r>
              <w:rPr>
                <w:sz w:val="20"/>
                <w:szCs w:val="20"/>
              </w:rPr>
              <w:t xml:space="preserve">Approximately </w:t>
            </w:r>
            <w:r w:rsidR="002D2B2A">
              <w:rPr>
                <w:sz w:val="20"/>
                <w:szCs w:val="20"/>
              </w:rPr>
              <w:t>71,000 people are diagnosed with MG in the United States</w:t>
            </w:r>
            <w:r w:rsidR="0030069F">
              <w:rPr>
                <w:sz w:val="20"/>
                <w:szCs w:val="20"/>
              </w:rPr>
              <w:t xml:space="preserve"> – 85% </w:t>
            </w:r>
            <w:proofErr w:type="spellStart"/>
            <w:proofErr w:type="gramStart"/>
            <w:r w:rsidR="0030069F">
              <w:rPr>
                <w:sz w:val="20"/>
                <w:szCs w:val="20"/>
              </w:rPr>
              <w:t>gMG</w:t>
            </w:r>
            <w:proofErr w:type="spellEnd"/>
            <w:proofErr w:type="gramEnd"/>
          </w:p>
          <w:p w14:paraId="50C2CE8D" w14:textId="086BCD42" w:rsidR="0089062E" w:rsidRPr="00D50CE0" w:rsidRDefault="00CD3233" w:rsidP="0089062E">
            <w:pPr>
              <w:pStyle w:val="NoSpacing"/>
              <w:numPr>
                <w:ilvl w:val="0"/>
                <w:numId w:val="20"/>
              </w:numPr>
              <w:rPr>
                <w:color w:val="000000" w:themeColor="text1"/>
                <w:sz w:val="20"/>
                <w:szCs w:val="20"/>
              </w:rPr>
            </w:pPr>
            <w:r>
              <w:rPr>
                <w:sz w:val="20"/>
                <w:szCs w:val="20"/>
              </w:rPr>
              <w:t>The International Consensus Guidance for Management of Myasthenia Gravis has not been updated since 2</w:t>
            </w:r>
            <w:r w:rsidR="005123A0">
              <w:rPr>
                <w:sz w:val="20"/>
                <w:szCs w:val="20"/>
              </w:rPr>
              <w:t>020</w:t>
            </w:r>
            <w:r w:rsidR="00BE6769">
              <w:rPr>
                <w:sz w:val="20"/>
                <w:szCs w:val="20"/>
              </w:rPr>
              <w:t xml:space="preserve"> (before the approval of the first </w:t>
            </w:r>
            <w:proofErr w:type="spellStart"/>
            <w:r w:rsidR="00BE6769">
              <w:rPr>
                <w:sz w:val="20"/>
                <w:szCs w:val="20"/>
              </w:rPr>
              <w:t>FcRn</w:t>
            </w:r>
            <w:proofErr w:type="spellEnd"/>
            <w:r w:rsidR="00BE6769">
              <w:rPr>
                <w:sz w:val="20"/>
                <w:szCs w:val="20"/>
              </w:rPr>
              <w:t xml:space="preserve"> antagonist</w:t>
            </w:r>
            <w:r w:rsidR="00CF438B">
              <w:rPr>
                <w:sz w:val="20"/>
                <w:szCs w:val="20"/>
              </w:rPr>
              <w:t>)</w:t>
            </w:r>
            <w:r w:rsidR="00D77F20">
              <w:rPr>
                <w:sz w:val="20"/>
                <w:szCs w:val="20"/>
              </w:rPr>
              <w:t xml:space="preserve">. </w:t>
            </w:r>
            <w:r w:rsidR="000A7853">
              <w:rPr>
                <w:sz w:val="20"/>
                <w:szCs w:val="20"/>
              </w:rPr>
              <w:t>R</w:t>
            </w:r>
            <w:r w:rsidR="00D77F20">
              <w:rPr>
                <w:sz w:val="20"/>
                <w:szCs w:val="20"/>
              </w:rPr>
              <w:t>ecommendations</w:t>
            </w:r>
            <w:r w:rsidR="000A7853">
              <w:rPr>
                <w:sz w:val="20"/>
                <w:szCs w:val="20"/>
              </w:rPr>
              <w:t xml:space="preserve"> from </w:t>
            </w:r>
            <w:r w:rsidR="007A53D6">
              <w:rPr>
                <w:sz w:val="20"/>
                <w:szCs w:val="20"/>
              </w:rPr>
              <w:t xml:space="preserve">the most recently updated guidance are as follows: </w:t>
            </w:r>
            <w:r w:rsidR="00D77F20">
              <w:rPr>
                <w:sz w:val="20"/>
                <w:szCs w:val="20"/>
              </w:rPr>
              <w:t xml:space="preserve"> </w:t>
            </w:r>
          </w:p>
          <w:p w14:paraId="3216E2F6" w14:textId="41F52B9D" w:rsidR="00B7572B" w:rsidRDefault="00D6132F" w:rsidP="00F46F6B">
            <w:pPr>
              <w:pStyle w:val="NoSpacing"/>
              <w:numPr>
                <w:ilvl w:val="1"/>
                <w:numId w:val="20"/>
              </w:numPr>
              <w:rPr>
                <w:color w:val="000000" w:themeColor="text1"/>
                <w:sz w:val="20"/>
                <w:szCs w:val="20"/>
              </w:rPr>
            </w:pPr>
            <w:r>
              <w:rPr>
                <w:color w:val="000000" w:themeColor="text1"/>
                <w:sz w:val="20"/>
                <w:szCs w:val="20"/>
              </w:rPr>
              <w:t>Pyridostigmine for initial treatment</w:t>
            </w:r>
          </w:p>
          <w:p w14:paraId="7EAF6A74" w14:textId="02C87A0F" w:rsidR="00C01CD2" w:rsidRDefault="00FD0A1D" w:rsidP="004D4F11">
            <w:pPr>
              <w:pStyle w:val="NoSpacing"/>
              <w:numPr>
                <w:ilvl w:val="1"/>
                <w:numId w:val="20"/>
              </w:numPr>
              <w:rPr>
                <w:color w:val="000000" w:themeColor="text1"/>
                <w:sz w:val="20"/>
                <w:szCs w:val="20"/>
              </w:rPr>
            </w:pPr>
            <w:r>
              <w:rPr>
                <w:color w:val="000000" w:themeColor="text1"/>
                <w:sz w:val="20"/>
                <w:szCs w:val="20"/>
              </w:rPr>
              <w:t xml:space="preserve">Corticosteroids </w:t>
            </w:r>
            <w:r w:rsidR="00CF4303">
              <w:rPr>
                <w:color w:val="000000" w:themeColor="text1"/>
                <w:sz w:val="20"/>
                <w:szCs w:val="20"/>
              </w:rPr>
              <w:t>for patients with MG who have not met treatment goals after adequate trial of pyridostigmine</w:t>
            </w:r>
            <w:r w:rsidR="00FD0DE8">
              <w:rPr>
                <w:color w:val="000000" w:themeColor="text1"/>
                <w:sz w:val="20"/>
                <w:szCs w:val="20"/>
              </w:rPr>
              <w:t xml:space="preserve">. Corticosteroids </w:t>
            </w:r>
            <w:r w:rsidR="002F1E57">
              <w:rPr>
                <w:color w:val="000000" w:themeColor="text1"/>
                <w:sz w:val="20"/>
                <w:szCs w:val="20"/>
              </w:rPr>
              <w:t xml:space="preserve">should be considered as an </w:t>
            </w:r>
            <w:r w:rsidR="00FD0DE8">
              <w:rPr>
                <w:color w:val="000000" w:themeColor="text1"/>
                <w:sz w:val="20"/>
                <w:szCs w:val="20"/>
              </w:rPr>
              <w:t>initial agent for ocular MG.</w:t>
            </w:r>
          </w:p>
          <w:p w14:paraId="218ABBF1" w14:textId="2802DA4F" w:rsidR="00FD0A1D" w:rsidRDefault="00C01CD2" w:rsidP="004D4F11">
            <w:pPr>
              <w:pStyle w:val="NoSpacing"/>
              <w:numPr>
                <w:ilvl w:val="1"/>
                <w:numId w:val="20"/>
              </w:numPr>
              <w:rPr>
                <w:color w:val="000000" w:themeColor="text1"/>
                <w:sz w:val="20"/>
                <w:szCs w:val="20"/>
              </w:rPr>
            </w:pPr>
            <w:r>
              <w:rPr>
                <w:color w:val="000000" w:themeColor="text1"/>
                <w:sz w:val="20"/>
                <w:szCs w:val="20"/>
              </w:rPr>
              <w:t>N</w:t>
            </w:r>
            <w:r w:rsidR="00FD0A1D">
              <w:rPr>
                <w:color w:val="000000" w:themeColor="text1"/>
                <w:sz w:val="20"/>
                <w:szCs w:val="20"/>
              </w:rPr>
              <w:t xml:space="preserve">onsteroidal </w:t>
            </w:r>
            <w:r w:rsidR="00872B3C">
              <w:rPr>
                <w:color w:val="000000" w:themeColor="text1"/>
                <w:sz w:val="20"/>
                <w:szCs w:val="20"/>
              </w:rPr>
              <w:t>immunosuppressive</w:t>
            </w:r>
            <w:r w:rsidR="00FD0A1D">
              <w:rPr>
                <w:color w:val="000000" w:themeColor="text1"/>
                <w:sz w:val="20"/>
                <w:szCs w:val="20"/>
              </w:rPr>
              <w:t xml:space="preserve"> agents </w:t>
            </w:r>
            <w:r w:rsidR="00872B3C">
              <w:rPr>
                <w:color w:val="000000" w:themeColor="text1"/>
                <w:sz w:val="20"/>
                <w:szCs w:val="20"/>
              </w:rPr>
              <w:t>when corticosteroids are contraindicat</w:t>
            </w:r>
            <w:r>
              <w:rPr>
                <w:color w:val="000000" w:themeColor="text1"/>
                <w:sz w:val="20"/>
                <w:szCs w:val="20"/>
              </w:rPr>
              <w:t>ed</w:t>
            </w:r>
            <w:r w:rsidR="004274A2">
              <w:rPr>
                <w:color w:val="000000" w:themeColor="text1"/>
                <w:sz w:val="20"/>
                <w:szCs w:val="20"/>
              </w:rPr>
              <w:t xml:space="preserve"> (azathioprine, cyclosporine, mycophenolate mofetil, methotrexate</w:t>
            </w:r>
            <w:r w:rsidR="00B17ED4">
              <w:rPr>
                <w:color w:val="000000" w:themeColor="text1"/>
                <w:sz w:val="20"/>
                <w:szCs w:val="20"/>
              </w:rPr>
              <w:t>, and tacrolimus)</w:t>
            </w:r>
          </w:p>
          <w:p w14:paraId="2DDEB15A" w14:textId="736DD2C5" w:rsidR="00176332" w:rsidRDefault="00FF569B" w:rsidP="00176332">
            <w:pPr>
              <w:pStyle w:val="NoSpacing"/>
              <w:numPr>
                <w:ilvl w:val="1"/>
                <w:numId w:val="20"/>
              </w:numPr>
              <w:rPr>
                <w:color w:val="000000" w:themeColor="text1"/>
                <w:sz w:val="20"/>
                <w:szCs w:val="20"/>
              </w:rPr>
            </w:pPr>
            <w:r>
              <w:rPr>
                <w:color w:val="000000" w:themeColor="text1"/>
                <w:sz w:val="20"/>
                <w:szCs w:val="20"/>
              </w:rPr>
              <w:t>Plasma exchange (</w:t>
            </w:r>
            <w:r w:rsidR="009C646C">
              <w:rPr>
                <w:color w:val="000000" w:themeColor="text1"/>
                <w:sz w:val="20"/>
                <w:szCs w:val="20"/>
              </w:rPr>
              <w:t>PLEX</w:t>
            </w:r>
            <w:r>
              <w:rPr>
                <w:color w:val="000000" w:themeColor="text1"/>
                <w:sz w:val="20"/>
                <w:szCs w:val="20"/>
              </w:rPr>
              <w:t>)</w:t>
            </w:r>
            <w:r w:rsidR="009C646C">
              <w:rPr>
                <w:color w:val="000000" w:themeColor="text1"/>
                <w:sz w:val="20"/>
                <w:szCs w:val="20"/>
              </w:rPr>
              <w:t xml:space="preserve"> or </w:t>
            </w:r>
            <w:r w:rsidR="00961BD6">
              <w:rPr>
                <w:color w:val="000000" w:themeColor="text1"/>
                <w:sz w:val="20"/>
                <w:szCs w:val="20"/>
              </w:rPr>
              <w:t>intravenous immunoglobulin (</w:t>
            </w:r>
            <w:r w:rsidR="009C646C">
              <w:rPr>
                <w:color w:val="000000" w:themeColor="text1"/>
                <w:sz w:val="20"/>
                <w:szCs w:val="20"/>
              </w:rPr>
              <w:t>IV</w:t>
            </w:r>
            <w:r w:rsidR="00E6788E">
              <w:rPr>
                <w:color w:val="000000" w:themeColor="text1"/>
                <w:sz w:val="20"/>
                <w:szCs w:val="20"/>
              </w:rPr>
              <w:t>I</w:t>
            </w:r>
            <w:r w:rsidR="00961BD6">
              <w:rPr>
                <w:color w:val="000000" w:themeColor="text1"/>
                <w:sz w:val="20"/>
                <w:szCs w:val="20"/>
              </w:rPr>
              <w:t>G)</w:t>
            </w:r>
            <w:r w:rsidR="00E6788E">
              <w:rPr>
                <w:color w:val="000000" w:themeColor="text1"/>
                <w:sz w:val="20"/>
                <w:szCs w:val="20"/>
              </w:rPr>
              <w:t xml:space="preserve"> for patients with refractory MG</w:t>
            </w:r>
            <w:r w:rsidR="00921BF3">
              <w:rPr>
                <w:color w:val="000000" w:themeColor="text1"/>
                <w:sz w:val="20"/>
                <w:szCs w:val="20"/>
              </w:rPr>
              <w:t xml:space="preserve"> or </w:t>
            </w:r>
            <w:r w:rsidR="00AB3F78">
              <w:rPr>
                <w:color w:val="000000" w:themeColor="text1"/>
                <w:sz w:val="20"/>
                <w:szCs w:val="20"/>
              </w:rPr>
              <w:t xml:space="preserve">with life-threating signs (respiratory insufficiency or dysphagia) </w:t>
            </w:r>
          </w:p>
          <w:p w14:paraId="5B2C16DF" w14:textId="47272C4C" w:rsidR="005974C3" w:rsidRPr="00B7572B" w:rsidRDefault="001F5B70" w:rsidP="005974C3">
            <w:pPr>
              <w:pStyle w:val="NoSpacing"/>
              <w:numPr>
                <w:ilvl w:val="2"/>
                <w:numId w:val="20"/>
              </w:numPr>
              <w:rPr>
                <w:color w:val="000000" w:themeColor="text1"/>
                <w:sz w:val="20"/>
                <w:szCs w:val="20"/>
              </w:rPr>
            </w:pPr>
            <w:r>
              <w:rPr>
                <w:color w:val="000000" w:themeColor="text1"/>
                <w:sz w:val="20"/>
                <w:szCs w:val="20"/>
              </w:rPr>
              <w:t xml:space="preserve">PLEX may be more effective in </w:t>
            </w:r>
            <w:proofErr w:type="spellStart"/>
            <w:r>
              <w:rPr>
                <w:color w:val="000000" w:themeColor="text1"/>
                <w:sz w:val="20"/>
                <w:szCs w:val="20"/>
              </w:rPr>
              <w:t>MusK</w:t>
            </w:r>
            <w:proofErr w:type="spellEnd"/>
            <w:r>
              <w:rPr>
                <w:color w:val="000000" w:themeColor="text1"/>
                <w:sz w:val="20"/>
                <w:szCs w:val="20"/>
              </w:rPr>
              <w:t>-MG</w:t>
            </w:r>
          </w:p>
          <w:p w14:paraId="15BC635B" w14:textId="2B581037" w:rsidR="004D4F11" w:rsidRPr="004D4F11" w:rsidRDefault="007F4BCA" w:rsidP="004D4F11">
            <w:pPr>
              <w:pStyle w:val="NoSpacing"/>
              <w:numPr>
                <w:ilvl w:val="1"/>
                <w:numId w:val="20"/>
              </w:numPr>
              <w:rPr>
                <w:color w:val="000000" w:themeColor="text1"/>
                <w:sz w:val="20"/>
                <w:szCs w:val="20"/>
              </w:rPr>
            </w:pPr>
            <w:r>
              <w:rPr>
                <w:sz w:val="20"/>
                <w:szCs w:val="20"/>
              </w:rPr>
              <w:t xml:space="preserve">Rituximab </w:t>
            </w:r>
            <w:r w:rsidR="00164D3D">
              <w:rPr>
                <w:sz w:val="20"/>
                <w:szCs w:val="20"/>
              </w:rPr>
              <w:t xml:space="preserve">for </w:t>
            </w:r>
            <w:proofErr w:type="spellStart"/>
            <w:r w:rsidR="00164D3D">
              <w:rPr>
                <w:sz w:val="20"/>
                <w:szCs w:val="20"/>
              </w:rPr>
              <w:t>MuSK</w:t>
            </w:r>
            <w:proofErr w:type="spellEnd"/>
            <w:r w:rsidR="000B4D14">
              <w:rPr>
                <w:sz w:val="20"/>
                <w:szCs w:val="20"/>
              </w:rPr>
              <w:t xml:space="preserve"> </w:t>
            </w:r>
            <w:r w:rsidR="00C404A2">
              <w:rPr>
                <w:sz w:val="20"/>
                <w:szCs w:val="20"/>
              </w:rPr>
              <w:t>Ab+</w:t>
            </w:r>
            <w:r w:rsidR="00164D3D">
              <w:rPr>
                <w:sz w:val="20"/>
                <w:szCs w:val="20"/>
              </w:rPr>
              <w:t xml:space="preserve"> MG who have unsatisfactory </w:t>
            </w:r>
            <w:r w:rsidR="004D4F11">
              <w:rPr>
                <w:sz w:val="20"/>
                <w:szCs w:val="20"/>
              </w:rPr>
              <w:t xml:space="preserve">response to initial </w:t>
            </w:r>
            <w:proofErr w:type="gramStart"/>
            <w:r w:rsidR="004D4F11">
              <w:rPr>
                <w:sz w:val="20"/>
                <w:szCs w:val="20"/>
              </w:rPr>
              <w:t>immunotherapy</w:t>
            </w:r>
            <w:proofErr w:type="gramEnd"/>
          </w:p>
          <w:p w14:paraId="4AD12B85" w14:textId="4EB0CEAC" w:rsidR="000F4004" w:rsidRPr="00B37EE9" w:rsidRDefault="00D47EF4" w:rsidP="00B37EE9">
            <w:pPr>
              <w:pStyle w:val="NoSpacing"/>
              <w:numPr>
                <w:ilvl w:val="1"/>
                <w:numId w:val="20"/>
              </w:numPr>
              <w:rPr>
                <w:color w:val="000000" w:themeColor="text1"/>
                <w:sz w:val="20"/>
                <w:szCs w:val="20"/>
              </w:rPr>
            </w:pPr>
            <w:r>
              <w:rPr>
                <w:color w:val="000000" w:themeColor="text1"/>
                <w:sz w:val="20"/>
                <w:szCs w:val="20"/>
              </w:rPr>
              <w:t xml:space="preserve">Eculizumab </w:t>
            </w:r>
            <w:r w:rsidR="0044013A">
              <w:rPr>
                <w:color w:val="000000" w:themeColor="text1"/>
                <w:sz w:val="20"/>
                <w:szCs w:val="20"/>
              </w:rPr>
              <w:t xml:space="preserve">should be considered for treatment of severe, refractory, </w:t>
            </w:r>
            <w:proofErr w:type="spellStart"/>
            <w:r w:rsidR="0044013A">
              <w:rPr>
                <w:color w:val="000000" w:themeColor="text1"/>
                <w:sz w:val="20"/>
                <w:szCs w:val="20"/>
              </w:rPr>
              <w:t>AChR</w:t>
            </w:r>
            <w:proofErr w:type="spellEnd"/>
            <w:r w:rsidR="00D42267">
              <w:rPr>
                <w:color w:val="000000" w:themeColor="text1"/>
                <w:sz w:val="20"/>
                <w:szCs w:val="20"/>
              </w:rPr>
              <w:t xml:space="preserve"> </w:t>
            </w:r>
            <w:r w:rsidR="00D60346">
              <w:rPr>
                <w:color w:val="000000" w:themeColor="text1"/>
                <w:sz w:val="20"/>
                <w:szCs w:val="20"/>
              </w:rPr>
              <w:t>Ab+</w:t>
            </w:r>
            <w:r w:rsidR="00C12824">
              <w:rPr>
                <w:color w:val="000000" w:themeColor="text1"/>
                <w:sz w:val="20"/>
                <w:szCs w:val="20"/>
              </w:rPr>
              <w:t xml:space="preserve"> </w:t>
            </w:r>
            <w:proofErr w:type="spellStart"/>
            <w:r w:rsidR="00C12824">
              <w:rPr>
                <w:color w:val="000000" w:themeColor="text1"/>
                <w:sz w:val="20"/>
                <w:szCs w:val="20"/>
              </w:rPr>
              <w:t>gMG</w:t>
            </w:r>
            <w:proofErr w:type="spellEnd"/>
            <w:r w:rsidR="00ED7F95">
              <w:rPr>
                <w:color w:val="000000" w:themeColor="text1"/>
                <w:sz w:val="20"/>
                <w:szCs w:val="20"/>
              </w:rPr>
              <w:t xml:space="preserve"> after trials of other immunotherapies have been </w:t>
            </w:r>
            <w:proofErr w:type="gramStart"/>
            <w:r w:rsidR="00ED7F95">
              <w:rPr>
                <w:color w:val="000000" w:themeColor="text1"/>
                <w:sz w:val="20"/>
                <w:szCs w:val="20"/>
              </w:rPr>
              <w:t>unsuccessful</w:t>
            </w:r>
            <w:proofErr w:type="gramEnd"/>
          </w:p>
          <w:p w14:paraId="607B38F8" w14:textId="77777777" w:rsidR="0089062E" w:rsidRPr="00417F7D" w:rsidRDefault="0089062E" w:rsidP="0089062E">
            <w:pPr>
              <w:pStyle w:val="NoSpacing"/>
              <w:rPr>
                <w:rFonts w:eastAsia="Arial"/>
                <w:sz w:val="20"/>
                <w:szCs w:val="20"/>
              </w:rPr>
            </w:pPr>
          </w:p>
        </w:tc>
      </w:tr>
      <w:tr w:rsidR="0093172F" w:rsidRPr="00417F7D" w14:paraId="6E278C1D" w14:textId="77777777" w:rsidTr="151A7E19">
        <w:trPr>
          <w:trHeight w:val="1412"/>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1AF02A51" w14:textId="0BC1BBAE" w:rsidR="0093172F" w:rsidRPr="00417F7D" w:rsidRDefault="0093172F" w:rsidP="00DD7B75">
            <w:pPr>
              <w:tabs>
                <w:tab w:val="left" w:pos="2400"/>
              </w:tabs>
              <w:suppressAutoHyphens/>
              <w:spacing w:before="60" w:after="60" w:line="220" w:lineRule="exact"/>
              <w:rPr>
                <w:b/>
                <w:bCs/>
                <w:color w:val="FFFFFF"/>
                <w:sz w:val="20"/>
                <w:szCs w:val="20"/>
              </w:rPr>
            </w:pPr>
            <w:r w:rsidRPr="00417F7D">
              <w:rPr>
                <w:b/>
                <w:bCs/>
                <w:color w:val="FFFFFF"/>
                <w:sz w:val="20"/>
                <w:szCs w:val="20"/>
              </w:rPr>
              <w:t>Drug Clinical Highlights: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4454B4E1" w14:textId="65F047D3" w:rsidR="00350B2A" w:rsidRDefault="00EC532D" w:rsidP="00B6717F">
            <w:pPr>
              <w:pStyle w:val="NoSpacing"/>
              <w:numPr>
                <w:ilvl w:val="0"/>
                <w:numId w:val="22"/>
              </w:numPr>
              <w:rPr>
                <w:rFonts w:eastAsia="Arial"/>
                <w:sz w:val="20"/>
                <w:szCs w:val="20"/>
              </w:rPr>
            </w:pPr>
            <w:proofErr w:type="spellStart"/>
            <w:r w:rsidRPr="00EC532D">
              <w:rPr>
                <w:rFonts w:eastAsia="Arial"/>
                <w:sz w:val="20"/>
                <w:szCs w:val="20"/>
              </w:rPr>
              <w:t>Rystiggo</w:t>
            </w:r>
            <w:proofErr w:type="spellEnd"/>
            <w:r w:rsidRPr="00EC532D">
              <w:rPr>
                <w:rFonts w:eastAsia="Arial"/>
                <w:sz w:val="20"/>
                <w:szCs w:val="20"/>
              </w:rPr>
              <w:t xml:space="preserve"> is the first and only FDA-approved treatment for patients with anti-</w:t>
            </w:r>
            <w:proofErr w:type="spellStart"/>
            <w:r w:rsidRPr="00EC532D">
              <w:rPr>
                <w:rFonts w:eastAsia="Arial"/>
                <w:sz w:val="20"/>
                <w:szCs w:val="20"/>
              </w:rPr>
              <w:t>MuSK</w:t>
            </w:r>
            <w:proofErr w:type="spellEnd"/>
            <w:r w:rsidRPr="00EC532D">
              <w:rPr>
                <w:rFonts w:eastAsia="Arial"/>
                <w:sz w:val="20"/>
                <w:szCs w:val="20"/>
              </w:rPr>
              <w:t xml:space="preserve"> </w:t>
            </w:r>
            <w:r w:rsidR="00C404A2">
              <w:rPr>
                <w:rFonts w:eastAsia="Arial"/>
                <w:sz w:val="20"/>
                <w:szCs w:val="20"/>
              </w:rPr>
              <w:t>Ab+</w:t>
            </w:r>
            <w:r w:rsidRPr="00EC532D">
              <w:rPr>
                <w:rFonts w:eastAsia="Arial"/>
                <w:sz w:val="20"/>
                <w:szCs w:val="20"/>
              </w:rPr>
              <w:t xml:space="preserve"> </w:t>
            </w:r>
            <w:proofErr w:type="spellStart"/>
            <w:r w:rsidRPr="00EC532D">
              <w:rPr>
                <w:rFonts w:eastAsia="Arial"/>
                <w:sz w:val="20"/>
                <w:szCs w:val="20"/>
              </w:rPr>
              <w:t>gMG</w:t>
            </w:r>
            <w:proofErr w:type="spellEnd"/>
            <w:r w:rsidRPr="00EC532D">
              <w:rPr>
                <w:rFonts w:eastAsia="Arial"/>
                <w:sz w:val="20"/>
                <w:szCs w:val="20"/>
              </w:rPr>
              <w:t>.</w:t>
            </w:r>
          </w:p>
          <w:p w14:paraId="56738E66" w14:textId="77777777" w:rsidR="0077337F" w:rsidRDefault="0077337F" w:rsidP="0077337F">
            <w:pPr>
              <w:pStyle w:val="NoSpacing"/>
              <w:rPr>
                <w:rFonts w:eastAsia="Arial"/>
                <w:sz w:val="20"/>
                <w:szCs w:val="20"/>
              </w:rPr>
            </w:pPr>
          </w:p>
          <w:p w14:paraId="4429592F" w14:textId="7061DC17" w:rsidR="0077337F" w:rsidRDefault="006D54C1" w:rsidP="0077337F">
            <w:pPr>
              <w:pStyle w:val="NoSpacing"/>
              <w:rPr>
                <w:rFonts w:eastAsia="Arial"/>
                <w:sz w:val="20"/>
                <w:szCs w:val="20"/>
                <w:u w:val="single"/>
              </w:rPr>
            </w:pPr>
            <w:r>
              <w:rPr>
                <w:rFonts w:eastAsia="Arial"/>
                <w:sz w:val="20"/>
                <w:szCs w:val="20"/>
                <w:u w:val="single"/>
              </w:rPr>
              <w:t>Contraindications</w:t>
            </w:r>
          </w:p>
          <w:p w14:paraId="449D2067" w14:textId="0BAC285C" w:rsidR="009D074B" w:rsidRPr="00B34277" w:rsidRDefault="00B34277" w:rsidP="00B34277">
            <w:pPr>
              <w:pStyle w:val="NoSpacing"/>
              <w:numPr>
                <w:ilvl w:val="0"/>
                <w:numId w:val="29"/>
              </w:numPr>
              <w:rPr>
                <w:rFonts w:eastAsia="Arial"/>
                <w:sz w:val="20"/>
                <w:szCs w:val="20"/>
                <w:u w:val="single"/>
              </w:rPr>
            </w:pPr>
            <w:r>
              <w:rPr>
                <w:rFonts w:eastAsia="Arial"/>
                <w:sz w:val="20"/>
                <w:szCs w:val="20"/>
              </w:rPr>
              <w:t>None</w:t>
            </w:r>
          </w:p>
          <w:p w14:paraId="7E2BDA40" w14:textId="77777777" w:rsidR="00B34277" w:rsidRDefault="00B34277" w:rsidP="00B34277">
            <w:pPr>
              <w:pStyle w:val="NoSpacing"/>
              <w:rPr>
                <w:rFonts w:eastAsia="Arial"/>
                <w:sz w:val="20"/>
                <w:szCs w:val="20"/>
              </w:rPr>
            </w:pPr>
          </w:p>
          <w:p w14:paraId="605738C1" w14:textId="5550E5FC" w:rsidR="00B34277" w:rsidRDefault="00B34277" w:rsidP="00B34277">
            <w:pPr>
              <w:pStyle w:val="NoSpacing"/>
              <w:rPr>
                <w:rFonts w:eastAsia="Arial"/>
                <w:sz w:val="20"/>
                <w:szCs w:val="20"/>
                <w:u w:val="single"/>
              </w:rPr>
            </w:pPr>
            <w:r>
              <w:rPr>
                <w:rFonts w:eastAsia="Arial"/>
                <w:sz w:val="20"/>
                <w:szCs w:val="20"/>
                <w:u w:val="single"/>
              </w:rPr>
              <w:t>Warnings/Precautions</w:t>
            </w:r>
          </w:p>
          <w:p w14:paraId="28DAB380" w14:textId="77777777" w:rsidR="0065620E" w:rsidRPr="0065620E" w:rsidRDefault="00831C41" w:rsidP="00CE79F1">
            <w:pPr>
              <w:pStyle w:val="NoSpacing"/>
              <w:numPr>
                <w:ilvl w:val="0"/>
                <w:numId w:val="29"/>
              </w:numPr>
              <w:rPr>
                <w:rFonts w:eastAsia="Arial"/>
                <w:sz w:val="20"/>
                <w:szCs w:val="20"/>
                <w:u w:val="single"/>
              </w:rPr>
            </w:pPr>
            <w:r w:rsidRPr="00831C41">
              <w:rPr>
                <w:rFonts w:eastAsia="Arial"/>
                <w:sz w:val="20"/>
                <w:szCs w:val="20"/>
              </w:rPr>
              <w:t>Infections</w:t>
            </w:r>
          </w:p>
          <w:p w14:paraId="5596E29A" w14:textId="77777777" w:rsidR="001015D2" w:rsidRPr="001015D2" w:rsidRDefault="00BF6177" w:rsidP="0065620E">
            <w:pPr>
              <w:pStyle w:val="NoSpacing"/>
              <w:numPr>
                <w:ilvl w:val="1"/>
                <w:numId w:val="29"/>
              </w:numPr>
              <w:rPr>
                <w:rFonts w:eastAsia="Arial"/>
                <w:sz w:val="20"/>
                <w:szCs w:val="20"/>
                <w:u w:val="single"/>
              </w:rPr>
            </w:pPr>
            <w:proofErr w:type="spellStart"/>
            <w:r>
              <w:rPr>
                <w:rFonts w:eastAsia="Arial"/>
                <w:sz w:val="20"/>
                <w:szCs w:val="20"/>
              </w:rPr>
              <w:t>Rystiggo</w:t>
            </w:r>
            <w:proofErr w:type="spellEnd"/>
            <w:r>
              <w:rPr>
                <w:rFonts w:eastAsia="Arial"/>
                <w:sz w:val="20"/>
                <w:szCs w:val="20"/>
              </w:rPr>
              <w:t xml:space="preserve"> may </w:t>
            </w:r>
            <w:r w:rsidR="00771958">
              <w:rPr>
                <w:rFonts w:eastAsia="Arial"/>
                <w:sz w:val="20"/>
                <w:szCs w:val="20"/>
              </w:rPr>
              <w:t xml:space="preserve">increase </w:t>
            </w:r>
            <w:proofErr w:type="gramStart"/>
            <w:r w:rsidR="00771958">
              <w:rPr>
                <w:rFonts w:eastAsia="Arial"/>
                <w:sz w:val="20"/>
                <w:szCs w:val="20"/>
              </w:rPr>
              <w:t>risk</w:t>
            </w:r>
            <w:proofErr w:type="gramEnd"/>
            <w:r w:rsidR="00771958">
              <w:rPr>
                <w:rFonts w:eastAsia="Arial"/>
                <w:sz w:val="20"/>
                <w:szCs w:val="20"/>
              </w:rPr>
              <w:t xml:space="preserve"> of infection. </w:t>
            </w:r>
          </w:p>
          <w:p w14:paraId="63BB15AA" w14:textId="22683C13" w:rsidR="00B72BBD" w:rsidRPr="00B72BBD" w:rsidRDefault="00831C41" w:rsidP="0065620E">
            <w:pPr>
              <w:pStyle w:val="NoSpacing"/>
              <w:numPr>
                <w:ilvl w:val="1"/>
                <w:numId w:val="29"/>
              </w:numPr>
              <w:rPr>
                <w:rFonts w:eastAsia="Arial"/>
                <w:sz w:val="20"/>
                <w:szCs w:val="20"/>
                <w:u w:val="single"/>
              </w:rPr>
            </w:pPr>
            <w:proofErr w:type="gramStart"/>
            <w:r w:rsidRPr="00831C41">
              <w:rPr>
                <w:rFonts w:eastAsia="Arial"/>
                <w:sz w:val="20"/>
                <w:szCs w:val="20"/>
              </w:rPr>
              <w:t>Delay</w:t>
            </w:r>
            <w:proofErr w:type="gramEnd"/>
            <w:r w:rsidR="00771958">
              <w:rPr>
                <w:rFonts w:eastAsia="Arial"/>
                <w:sz w:val="20"/>
                <w:szCs w:val="20"/>
              </w:rPr>
              <w:t xml:space="preserve"> </w:t>
            </w:r>
            <w:r w:rsidRPr="00831C41">
              <w:rPr>
                <w:rFonts w:eastAsia="Arial"/>
                <w:sz w:val="20"/>
                <w:szCs w:val="20"/>
              </w:rPr>
              <w:t xml:space="preserve">administration </w:t>
            </w:r>
            <w:r w:rsidR="00B842FC">
              <w:rPr>
                <w:rFonts w:eastAsia="Arial"/>
                <w:sz w:val="20"/>
                <w:szCs w:val="20"/>
              </w:rPr>
              <w:t>in</w:t>
            </w:r>
            <w:r w:rsidRPr="00831C41">
              <w:rPr>
                <w:rFonts w:eastAsia="Arial"/>
                <w:sz w:val="20"/>
                <w:szCs w:val="20"/>
              </w:rPr>
              <w:t xml:space="preserve"> patients with an active infection. </w:t>
            </w:r>
          </w:p>
          <w:p w14:paraId="44892C6B" w14:textId="77777777" w:rsidR="00B72BBD" w:rsidRPr="00B72BBD" w:rsidRDefault="00831C41" w:rsidP="0065620E">
            <w:pPr>
              <w:pStyle w:val="NoSpacing"/>
              <w:numPr>
                <w:ilvl w:val="1"/>
                <w:numId w:val="29"/>
              </w:numPr>
              <w:rPr>
                <w:rFonts w:eastAsia="Arial"/>
                <w:sz w:val="20"/>
                <w:szCs w:val="20"/>
                <w:u w:val="single"/>
              </w:rPr>
            </w:pPr>
            <w:r w:rsidRPr="00831C41">
              <w:rPr>
                <w:rFonts w:eastAsia="Arial"/>
                <w:sz w:val="20"/>
                <w:szCs w:val="20"/>
              </w:rPr>
              <w:t xml:space="preserve">Monitor for signs and symptoms of infection in patients treated with </w:t>
            </w:r>
            <w:proofErr w:type="spellStart"/>
            <w:r w:rsidRPr="00831C41">
              <w:rPr>
                <w:rFonts w:eastAsia="Arial"/>
                <w:sz w:val="20"/>
                <w:szCs w:val="20"/>
              </w:rPr>
              <w:t>Rystiggo</w:t>
            </w:r>
            <w:proofErr w:type="spellEnd"/>
            <w:r w:rsidRPr="00831C41">
              <w:rPr>
                <w:rFonts w:eastAsia="Arial"/>
                <w:sz w:val="20"/>
                <w:szCs w:val="20"/>
              </w:rPr>
              <w:t xml:space="preserve">. </w:t>
            </w:r>
          </w:p>
          <w:p w14:paraId="4F994670" w14:textId="1B4C151E" w:rsidR="00CE79F1" w:rsidRDefault="00831C41" w:rsidP="0065620E">
            <w:pPr>
              <w:pStyle w:val="NoSpacing"/>
              <w:numPr>
                <w:ilvl w:val="1"/>
                <w:numId w:val="29"/>
              </w:numPr>
              <w:rPr>
                <w:rFonts w:eastAsia="Arial"/>
                <w:sz w:val="20"/>
                <w:szCs w:val="20"/>
                <w:u w:val="single"/>
              </w:rPr>
            </w:pPr>
            <w:r w:rsidRPr="00831C41">
              <w:rPr>
                <w:rFonts w:eastAsia="Arial"/>
                <w:sz w:val="20"/>
                <w:szCs w:val="20"/>
              </w:rPr>
              <w:t xml:space="preserve">If serious infection occurs, administer appropriate </w:t>
            </w:r>
            <w:proofErr w:type="gramStart"/>
            <w:r w:rsidRPr="00831C41">
              <w:rPr>
                <w:rFonts w:eastAsia="Arial"/>
                <w:sz w:val="20"/>
                <w:szCs w:val="20"/>
              </w:rPr>
              <w:t>treatment</w:t>
            </w:r>
            <w:proofErr w:type="gramEnd"/>
            <w:r w:rsidRPr="00831C41">
              <w:rPr>
                <w:rFonts w:eastAsia="Arial"/>
                <w:sz w:val="20"/>
                <w:szCs w:val="20"/>
              </w:rPr>
              <w:t xml:space="preserve"> and consider withholding </w:t>
            </w:r>
            <w:proofErr w:type="spellStart"/>
            <w:r w:rsidRPr="00831C41">
              <w:rPr>
                <w:rFonts w:eastAsia="Arial"/>
                <w:sz w:val="20"/>
                <w:szCs w:val="20"/>
              </w:rPr>
              <w:t>Rystiggo</w:t>
            </w:r>
            <w:proofErr w:type="spellEnd"/>
            <w:r w:rsidRPr="00831C41">
              <w:rPr>
                <w:rFonts w:eastAsia="Arial"/>
                <w:sz w:val="20"/>
                <w:szCs w:val="20"/>
              </w:rPr>
              <w:t xml:space="preserve"> until the infection has resolved</w:t>
            </w:r>
            <w:r w:rsidR="0000306D">
              <w:rPr>
                <w:rFonts w:eastAsia="Arial"/>
                <w:sz w:val="20"/>
                <w:szCs w:val="20"/>
              </w:rPr>
              <w:t>.</w:t>
            </w:r>
            <w:r w:rsidR="001015D2">
              <w:rPr>
                <w:rFonts w:eastAsia="Arial"/>
                <w:sz w:val="20"/>
                <w:szCs w:val="20"/>
                <w:u w:val="single"/>
              </w:rPr>
              <w:t xml:space="preserve"> </w:t>
            </w:r>
          </w:p>
          <w:p w14:paraId="390D145F" w14:textId="7C296CA3" w:rsidR="001015D2" w:rsidRPr="00CA4D56" w:rsidRDefault="00CA4D56" w:rsidP="001015D2">
            <w:pPr>
              <w:pStyle w:val="NoSpacing"/>
              <w:numPr>
                <w:ilvl w:val="0"/>
                <w:numId w:val="29"/>
              </w:numPr>
              <w:rPr>
                <w:rFonts w:eastAsia="Arial"/>
                <w:sz w:val="20"/>
                <w:szCs w:val="20"/>
                <w:u w:val="single"/>
              </w:rPr>
            </w:pPr>
            <w:r>
              <w:rPr>
                <w:rFonts w:eastAsia="Arial"/>
                <w:sz w:val="20"/>
                <w:szCs w:val="20"/>
              </w:rPr>
              <w:t>Aseptic Meningitis</w:t>
            </w:r>
          </w:p>
          <w:p w14:paraId="30F6680D" w14:textId="318761B1" w:rsidR="00F83625" w:rsidRPr="008D06CA" w:rsidRDefault="008D06CA" w:rsidP="00F83625">
            <w:pPr>
              <w:pStyle w:val="NoSpacing"/>
              <w:numPr>
                <w:ilvl w:val="1"/>
                <w:numId w:val="29"/>
              </w:numPr>
              <w:rPr>
                <w:rFonts w:eastAsia="Arial"/>
                <w:sz w:val="20"/>
                <w:szCs w:val="20"/>
              </w:rPr>
            </w:pPr>
            <w:r w:rsidRPr="008D06CA">
              <w:rPr>
                <w:rFonts w:eastAsia="Arial"/>
                <w:sz w:val="20"/>
                <w:szCs w:val="20"/>
              </w:rPr>
              <w:t>Serious adverse reactions of aseptic meningitis</w:t>
            </w:r>
            <w:r>
              <w:rPr>
                <w:rFonts w:eastAsia="Arial"/>
                <w:sz w:val="20"/>
                <w:szCs w:val="20"/>
              </w:rPr>
              <w:t xml:space="preserve"> </w:t>
            </w:r>
            <w:r w:rsidRPr="008D06CA">
              <w:rPr>
                <w:rFonts w:eastAsia="Arial"/>
                <w:sz w:val="20"/>
                <w:szCs w:val="20"/>
              </w:rPr>
              <w:t xml:space="preserve">have been reported in patients treated with </w:t>
            </w:r>
            <w:proofErr w:type="spellStart"/>
            <w:r w:rsidRPr="008D06CA">
              <w:rPr>
                <w:rFonts w:eastAsia="Arial"/>
                <w:sz w:val="20"/>
                <w:szCs w:val="20"/>
              </w:rPr>
              <w:t>R</w:t>
            </w:r>
            <w:r w:rsidR="00F83625">
              <w:rPr>
                <w:rFonts w:eastAsia="Arial"/>
                <w:sz w:val="20"/>
                <w:szCs w:val="20"/>
              </w:rPr>
              <w:t>ystiggo</w:t>
            </w:r>
            <w:proofErr w:type="spellEnd"/>
            <w:r w:rsidR="00F83625">
              <w:rPr>
                <w:rFonts w:eastAsia="Arial"/>
                <w:sz w:val="20"/>
                <w:szCs w:val="20"/>
              </w:rPr>
              <w:t>.</w:t>
            </w:r>
          </w:p>
          <w:p w14:paraId="2B533D8D" w14:textId="77B51EA3" w:rsidR="00CA4D56" w:rsidRDefault="008D06CA" w:rsidP="00F83625">
            <w:pPr>
              <w:pStyle w:val="NoSpacing"/>
              <w:numPr>
                <w:ilvl w:val="1"/>
                <w:numId w:val="29"/>
              </w:numPr>
              <w:rPr>
                <w:rFonts w:eastAsia="Arial"/>
                <w:sz w:val="20"/>
                <w:szCs w:val="20"/>
              </w:rPr>
            </w:pPr>
            <w:r w:rsidRPr="008D06CA">
              <w:rPr>
                <w:rFonts w:eastAsia="Arial"/>
                <w:sz w:val="20"/>
                <w:szCs w:val="20"/>
              </w:rPr>
              <w:t>If symptoms consistent with aseptic meningitis develop, diagnostic</w:t>
            </w:r>
            <w:r w:rsidR="00F83625">
              <w:rPr>
                <w:rFonts w:eastAsia="Arial"/>
                <w:sz w:val="20"/>
                <w:szCs w:val="20"/>
              </w:rPr>
              <w:t xml:space="preserve"> </w:t>
            </w:r>
            <w:r w:rsidRPr="00F83625">
              <w:rPr>
                <w:rFonts w:eastAsia="Arial"/>
                <w:sz w:val="20"/>
                <w:szCs w:val="20"/>
              </w:rPr>
              <w:t>workup and treatment should be initiated according to the standard of care</w:t>
            </w:r>
            <w:r w:rsidR="00F83625">
              <w:rPr>
                <w:rFonts w:eastAsia="Arial"/>
                <w:sz w:val="20"/>
                <w:szCs w:val="20"/>
              </w:rPr>
              <w:t xml:space="preserve">. </w:t>
            </w:r>
          </w:p>
          <w:p w14:paraId="1894EBC8" w14:textId="2DA6B989" w:rsidR="00F83625" w:rsidRDefault="004537B0" w:rsidP="00F83625">
            <w:pPr>
              <w:pStyle w:val="NoSpacing"/>
              <w:numPr>
                <w:ilvl w:val="0"/>
                <w:numId w:val="29"/>
              </w:numPr>
              <w:rPr>
                <w:rFonts w:eastAsia="Arial"/>
                <w:sz w:val="20"/>
                <w:szCs w:val="20"/>
              </w:rPr>
            </w:pPr>
            <w:r>
              <w:rPr>
                <w:rFonts w:eastAsia="Arial"/>
                <w:sz w:val="20"/>
                <w:szCs w:val="20"/>
              </w:rPr>
              <w:t>Hypersensitivity Reactions</w:t>
            </w:r>
          </w:p>
          <w:p w14:paraId="172DF03A" w14:textId="77777777" w:rsidR="004537B0" w:rsidRDefault="004537B0" w:rsidP="004537B0">
            <w:pPr>
              <w:pStyle w:val="NoSpacing"/>
              <w:numPr>
                <w:ilvl w:val="1"/>
                <w:numId w:val="29"/>
              </w:numPr>
              <w:rPr>
                <w:rFonts w:eastAsia="Arial"/>
                <w:sz w:val="20"/>
                <w:szCs w:val="20"/>
              </w:rPr>
            </w:pPr>
            <w:r w:rsidRPr="004537B0">
              <w:rPr>
                <w:rFonts w:eastAsia="Arial"/>
                <w:sz w:val="20"/>
                <w:szCs w:val="20"/>
              </w:rPr>
              <w:t>Hypersensitivity reactions, including angioedema and rash, were observed in patients</w:t>
            </w:r>
            <w:r>
              <w:rPr>
                <w:rFonts w:eastAsia="Arial"/>
                <w:sz w:val="20"/>
                <w:szCs w:val="20"/>
              </w:rPr>
              <w:t xml:space="preserve"> </w:t>
            </w:r>
            <w:r w:rsidRPr="004537B0">
              <w:rPr>
                <w:rFonts w:eastAsia="Arial"/>
                <w:sz w:val="20"/>
                <w:szCs w:val="20"/>
              </w:rPr>
              <w:t xml:space="preserve">treated with </w:t>
            </w:r>
            <w:proofErr w:type="spellStart"/>
            <w:r>
              <w:rPr>
                <w:rFonts w:eastAsia="Arial"/>
                <w:sz w:val="20"/>
                <w:szCs w:val="20"/>
              </w:rPr>
              <w:t>Rystiggo</w:t>
            </w:r>
            <w:proofErr w:type="spellEnd"/>
            <w:r>
              <w:rPr>
                <w:rFonts w:eastAsia="Arial"/>
                <w:sz w:val="20"/>
                <w:szCs w:val="20"/>
              </w:rPr>
              <w:t>.</w:t>
            </w:r>
          </w:p>
          <w:p w14:paraId="3E7CDFD8" w14:textId="1BC98F10" w:rsidR="004537B0" w:rsidRPr="004537B0" w:rsidRDefault="004537B0" w:rsidP="004537B0">
            <w:pPr>
              <w:pStyle w:val="NoSpacing"/>
              <w:numPr>
                <w:ilvl w:val="1"/>
                <w:numId w:val="29"/>
              </w:numPr>
              <w:rPr>
                <w:rFonts w:eastAsia="Arial"/>
                <w:sz w:val="20"/>
                <w:szCs w:val="20"/>
              </w:rPr>
            </w:pPr>
            <w:r w:rsidRPr="004537B0">
              <w:rPr>
                <w:rFonts w:eastAsia="Arial"/>
                <w:sz w:val="20"/>
                <w:szCs w:val="20"/>
              </w:rPr>
              <w:t>Monitor patients during</w:t>
            </w:r>
            <w:r>
              <w:rPr>
                <w:rFonts w:eastAsia="Arial"/>
                <w:sz w:val="20"/>
                <w:szCs w:val="20"/>
              </w:rPr>
              <w:t xml:space="preserve"> </w:t>
            </w:r>
            <w:r w:rsidRPr="004537B0">
              <w:rPr>
                <w:rFonts w:eastAsia="Arial"/>
                <w:sz w:val="20"/>
                <w:szCs w:val="20"/>
              </w:rPr>
              <w:t xml:space="preserve">treatment with </w:t>
            </w:r>
            <w:proofErr w:type="spellStart"/>
            <w:r w:rsidRPr="004537B0">
              <w:rPr>
                <w:rFonts w:eastAsia="Arial"/>
                <w:sz w:val="20"/>
                <w:szCs w:val="20"/>
              </w:rPr>
              <w:t>Rystiggo</w:t>
            </w:r>
            <w:proofErr w:type="spellEnd"/>
            <w:r w:rsidRPr="004537B0">
              <w:rPr>
                <w:rFonts w:eastAsia="Arial"/>
                <w:sz w:val="20"/>
                <w:szCs w:val="20"/>
              </w:rPr>
              <w:t xml:space="preserve"> and for 15 minutes after the administration is complete for</w:t>
            </w:r>
            <w:r>
              <w:rPr>
                <w:rFonts w:eastAsia="Arial"/>
                <w:sz w:val="20"/>
                <w:szCs w:val="20"/>
              </w:rPr>
              <w:t xml:space="preserve"> </w:t>
            </w:r>
            <w:r w:rsidRPr="004537B0">
              <w:rPr>
                <w:rFonts w:eastAsia="Arial"/>
                <w:sz w:val="20"/>
                <w:szCs w:val="20"/>
              </w:rPr>
              <w:t>clinical signs and symptoms of hypersensitivity reactions</w:t>
            </w:r>
            <w:r>
              <w:rPr>
                <w:rFonts w:eastAsia="Arial"/>
                <w:sz w:val="20"/>
                <w:szCs w:val="20"/>
              </w:rPr>
              <w:t>.</w:t>
            </w:r>
            <w:r w:rsidRPr="004537B0">
              <w:rPr>
                <w:rFonts w:eastAsia="Arial"/>
                <w:sz w:val="20"/>
                <w:szCs w:val="20"/>
              </w:rPr>
              <w:t xml:space="preserve"> </w:t>
            </w:r>
          </w:p>
          <w:p w14:paraId="5FE1B372" w14:textId="7FC3F327" w:rsidR="004537B0" w:rsidRDefault="004537B0" w:rsidP="004537B0">
            <w:pPr>
              <w:pStyle w:val="NoSpacing"/>
              <w:numPr>
                <w:ilvl w:val="1"/>
                <w:numId w:val="29"/>
              </w:numPr>
              <w:rPr>
                <w:rFonts w:eastAsia="Arial"/>
                <w:sz w:val="20"/>
                <w:szCs w:val="20"/>
              </w:rPr>
            </w:pPr>
            <w:r w:rsidRPr="004537B0">
              <w:rPr>
                <w:rFonts w:eastAsia="Arial"/>
                <w:sz w:val="20"/>
                <w:szCs w:val="20"/>
              </w:rPr>
              <w:t>If a hypersensitivity reaction occurs, the healthcare professional</w:t>
            </w:r>
            <w:r>
              <w:rPr>
                <w:rFonts w:eastAsia="Arial"/>
                <w:sz w:val="20"/>
                <w:szCs w:val="20"/>
              </w:rPr>
              <w:t xml:space="preserve"> </w:t>
            </w:r>
            <w:r w:rsidRPr="004537B0">
              <w:rPr>
                <w:rFonts w:eastAsia="Arial"/>
                <w:sz w:val="20"/>
                <w:szCs w:val="20"/>
              </w:rPr>
              <w:t>should institute appropriate measures if needed or the patient should seek medical</w:t>
            </w:r>
            <w:r>
              <w:rPr>
                <w:rFonts w:eastAsia="Arial"/>
                <w:sz w:val="20"/>
                <w:szCs w:val="20"/>
              </w:rPr>
              <w:t xml:space="preserve"> </w:t>
            </w:r>
            <w:r w:rsidRPr="004537B0">
              <w:rPr>
                <w:rFonts w:eastAsia="Arial"/>
                <w:sz w:val="20"/>
                <w:szCs w:val="20"/>
              </w:rPr>
              <w:t>attention.</w:t>
            </w:r>
          </w:p>
          <w:p w14:paraId="4BAA2F3A" w14:textId="77777777" w:rsidR="0096432B" w:rsidRDefault="0096432B" w:rsidP="00F67589">
            <w:pPr>
              <w:pStyle w:val="NoSpacing"/>
              <w:rPr>
                <w:rFonts w:eastAsia="Arial"/>
                <w:sz w:val="20"/>
                <w:szCs w:val="20"/>
              </w:rPr>
            </w:pPr>
          </w:p>
          <w:p w14:paraId="04317F57" w14:textId="77777777" w:rsidR="00F67589" w:rsidRDefault="00F67589" w:rsidP="00F67589">
            <w:pPr>
              <w:pStyle w:val="NoSpacing"/>
              <w:rPr>
                <w:rFonts w:eastAsia="Arial"/>
                <w:sz w:val="20"/>
                <w:szCs w:val="20"/>
                <w:u w:val="single"/>
              </w:rPr>
            </w:pPr>
            <w:r>
              <w:rPr>
                <w:rFonts w:eastAsia="Arial"/>
                <w:sz w:val="20"/>
                <w:szCs w:val="20"/>
                <w:u w:val="single"/>
              </w:rPr>
              <w:t>Pregnancy and Lactation</w:t>
            </w:r>
          </w:p>
          <w:p w14:paraId="4C3899E2" w14:textId="106766E9" w:rsidR="00F67589" w:rsidRDefault="00116481" w:rsidP="00FE4C87">
            <w:pPr>
              <w:pStyle w:val="NoSpacing"/>
              <w:numPr>
                <w:ilvl w:val="0"/>
                <w:numId w:val="30"/>
              </w:numPr>
              <w:rPr>
                <w:rFonts w:eastAsia="Arial"/>
                <w:sz w:val="20"/>
                <w:szCs w:val="20"/>
              </w:rPr>
            </w:pPr>
            <w:r w:rsidRPr="00442CE4">
              <w:rPr>
                <w:rFonts w:eastAsia="Arial"/>
                <w:sz w:val="20"/>
                <w:szCs w:val="20"/>
              </w:rPr>
              <w:t xml:space="preserve">There are limited data on </w:t>
            </w:r>
            <w:proofErr w:type="spellStart"/>
            <w:r w:rsidRPr="00442CE4">
              <w:rPr>
                <w:rFonts w:eastAsia="Arial"/>
                <w:sz w:val="20"/>
                <w:szCs w:val="20"/>
              </w:rPr>
              <w:t>Rystiggo</w:t>
            </w:r>
            <w:proofErr w:type="spellEnd"/>
            <w:r w:rsidRPr="00442CE4">
              <w:rPr>
                <w:rFonts w:eastAsia="Arial"/>
                <w:sz w:val="20"/>
                <w:szCs w:val="20"/>
              </w:rPr>
              <w:t xml:space="preserve"> use in pregnant women</w:t>
            </w:r>
            <w:r w:rsidR="00442CE4" w:rsidRPr="00442CE4">
              <w:rPr>
                <w:rFonts w:eastAsia="Arial"/>
                <w:sz w:val="20"/>
                <w:szCs w:val="20"/>
              </w:rPr>
              <w:t xml:space="preserve">. </w:t>
            </w:r>
            <w:r w:rsidR="00FE4C87" w:rsidRPr="00FE4C87">
              <w:rPr>
                <w:rFonts w:eastAsia="Arial"/>
                <w:sz w:val="20"/>
                <w:szCs w:val="20"/>
              </w:rPr>
              <w:t xml:space="preserve">Following administration of </w:t>
            </w:r>
            <w:proofErr w:type="spellStart"/>
            <w:r w:rsidR="00FE4C87" w:rsidRPr="00FE4C87">
              <w:rPr>
                <w:rFonts w:eastAsia="Arial"/>
                <w:sz w:val="20"/>
                <w:szCs w:val="20"/>
              </w:rPr>
              <w:t>rozanolixizumab-noli</w:t>
            </w:r>
            <w:proofErr w:type="spellEnd"/>
            <w:r w:rsidR="00FE4C87" w:rsidRPr="00FE4C87">
              <w:rPr>
                <w:rFonts w:eastAsia="Arial"/>
                <w:sz w:val="20"/>
                <w:szCs w:val="20"/>
              </w:rPr>
              <w:t xml:space="preserve"> to pregnant monkeys at</w:t>
            </w:r>
            <w:r w:rsidR="00FE4C87">
              <w:rPr>
                <w:rFonts w:eastAsia="Arial"/>
                <w:sz w:val="20"/>
                <w:szCs w:val="20"/>
              </w:rPr>
              <w:t xml:space="preserve"> </w:t>
            </w:r>
            <w:r w:rsidR="00FE4C87" w:rsidRPr="00FE4C87">
              <w:rPr>
                <w:rFonts w:eastAsia="Arial"/>
                <w:sz w:val="20"/>
                <w:szCs w:val="20"/>
              </w:rPr>
              <w:t xml:space="preserve">doses greater than those used clinically, </w:t>
            </w:r>
            <w:r w:rsidR="00FE4C87" w:rsidRPr="00FE4C87">
              <w:rPr>
                <w:rFonts w:eastAsia="Arial"/>
                <w:sz w:val="20"/>
                <w:szCs w:val="20"/>
              </w:rPr>
              <w:lastRenderedPageBreak/>
              <w:t>increases in embryonic death, reduced body</w:t>
            </w:r>
            <w:r w:rsidR="00FE4C87">
              <w:rPr>
                <w:rFonts w:eastAsia="Arial"/>
                <w:sz w:val="20"/>
                <w:szCs w:val="20"/>
              </w:rPr>
              <w:t xml:space="preserve"> </w:t>
            </w:r>
            <w:r w:rsidR="00FE4C87" w:rsidRPr="00FE4C87">
              <w:rPr>
                <w:rFonts w:eastAsia="Arial"/>
                <w:sz w:val="20"/>
                <w:szCs w:val="20"/>
              </w:rPr>
              <w:t>weight, and impaired immune function were observed</w:t>
            </w:r>
            <w:r w:rsidR="00CE01C9">
              <w:rPr>
                <w:rFonts w:eastAsia="Arial"/>
                <w:sz w:val="20"/>
                <w:szCs w:val="20"/>
              </w:rPr>
              <w:t xml:space="preserve"> in </w:t>
            </w:r>
            <w:r w:rsidR="002672EE">
              <w:rPr>
                <w:rFonts w:eastAsia="Arial"/>
                <w:sz w:val="20"/>
                <w:szCs w:val="20"/>
              </w:rPr>
              <w:t>offspring.</w:t>
            </w:r>
          </w:p>
          <w:p w14:paraId="5D7FFC3E" w14:textId="52AB93B2" w:rsidR="002672EE" w:rsidRPr="0000306D" w:rsidRDefault="00E73E2F" w:rsidP="00290460">
            <w:pPr>
              <w:pStyle w:val="NoSpacing"/>
              <w:numPr>
                <w:ilvl w:val="0"/>
                <w:numId w:val="30"/>
              </w:numPr>
              <w:rPr>
                <w:rFonts w:eastAsia="Arial"/>
                <w:sz w:val="20"/>
                <w:szCs w:val="20"/>
              </w:rPr>
            </w:pPr>
            <w:r w:rsidRPr="00E73E2F">
              <w:rPr>
                <w:rFonts w:eastAsia="Arial"/>
                <w:sz w:val="20"/>
                <w:szCs w:val="20"/>
              </w:rPr>
              <w:t xml:space="preserve">There are no data on the presence of </w:t>
            </w:r>
            <w:proofErr w:type="spellStart"/>
            <w:r w:rsidRPr="00E73E2F">
              <w:rPr>
                <w:rFonts w:eastAsia="Arial"/>
                <w:sz w:val="20"/>
                <w:szCs w:val="20"/>
              </w:rPr>
              <w:t>rozanolixizumab-noli</w:t>
            </w:r>
            <w:proofErr w:type="spellEnd"/>
            <w:r w:rsidRPr="00E73E2F">
              <w:rPr>
                <w:rFonts w:eastAsia="Arial"/>
                <w:sz w:val="20"/>
                <w:szCs w:val="20"/>
              </w:rPr>
              <w:t xml:space="preserve"> in human milk, the effects on</w:t>
            </w:r>
            <w:r>
              <w:rPr>
                <w:rFonts w:eastAsia="Arial"/>
                <w:sz w:val="20"/>
                <w:szCs w:val="20"/>
              </w:rPr>
              <w:t xml:space="preserve"> </w:t>
            </w:r>
            <w:r w:rsidRPr="00E73E2F">
              <w:rPr>
                <w:rFonts w:eastAsia="Arial"/>
                <w:sz w:val="20"/>
                <w:szCs w:val="20"/>
              </w:rPr>
              <w:t>the breastfed infant, or the effects on milk production. Maternal IgG is known to be</w:t>
            </w:r>
            <w:r w:rsidR="0000306D">
              <w:rPr>
                <w:rFonts w:eastAsia="Arial"/>
                <w:sz w:val="20"/>
                <w:szCs w:val="20"/>
              </w:rPr>
              <w:t xml:space="preserve"> </w:t>
            </w:r>
            <w:r w:rsidRPr="0000306D">
              <w:rPr>
                <w:rFonts w:eastAsia="Arial"/>
                <w:sz w:val="20"/>
                <w:szCs w:val="20"/>
              </w:rPr>
              <w:t>present in human milk.</w:t>
            </w:r>
          </w:p>
          <w:p w14:paraId="5514D2B5" w14:textId="77777777" w:rsidR="0077337F" w:rsidRDefault="0077337F" w:rsidP="0077337F">
            <w:pPr>
              <w:pStyle w:val="NoSpacing"/>
              <w:rPr>
                <w:rFonts w:eastAsia="Arial"/>
                <w:sz w:val="20"/>
                <w:szCs w:val="20"/>
              </w:rPr>
            </w:pPr>
          </w:p>
          <w:p w14:paraId="1562B142" w14:textId="4BCDE3DC" w:rsidR="00E50ABC" w:rsidRPr="00483F78" w:rsidRDefault="00C210C6" w:rsidP="0077337F">
            <w:pPr>
              <w:pStyle w:val="NoSpacing"/>
              <w:rPr>
                <w:rFonts w:eastAsia="Arial"/>
                <w:sz w:val="20"/>
                <w:szCs w:val="20"/>
                <w:u w:val="single"/>
              </w:rPr>
            </w:pPr>
            <w:r w:rsidRPr="00483F78">
              <w:rPr>
                <w:rFonts w:eastAsia="Arial"/>
                <w:sz w:val="20"/>
                <w:szCs w:val="20"/>
                <w:u w:val="single"/>
              </w:rPr>
              <w:t>Renal and Hepatic Impairment</w:t>
            </w:r>
          </w:p>
          <w:p w14:paraId="462F24E3" w14:textId="5AF3B4F7" w:rsidR="00653B14" w:rsidRDefault="000D66CB" w:rsidP="000D66CB">
            <w:pPr>
              <w:pStyle w:val="NoSpacing"/>
              <w:numPr>
                <w:ilvl w:val="0"/>
                <w:numId w:val="32"/>
              </w:numPr>
              <w:rPr>
                <w:rFonts w:eastAsia="Arial"/>
                <w:sz w:val="20"/>
                <w:szCs w:val="20"/>
              </w:rPr>
            </w:pPr>
            <w:r w:rsidRPr="001A6406">
              <w:rPr>
                <w:rFonts w:eastAsia="Arial"/>
                <w:sz w:val="20"/>
                <w:szCs w:val="20"/>
              </w:rPr>
              <w:t>No dedicated pharmacokinetic stud</w:t>
            </w:r>
            <w:r w:rsidR="002527EA">
              <w:rPr>
                <w:rFonts w:eastAsia="Arial"/>
                <w:sz w:val="20"/>
                <w:szCs w:val="20"/>
              </w:rPr>
              <w:t>ies have been</w:t>
            </w:r>
            <w:r w:rsidRPr="001A6406">
              <w:rPr>
                <w:rFonts w:eastAsia="Arial"/>
                <w:sz w:val="20"/>
                <w:szCs w:val="20"/>
              </w:rPr>
              <w:t xml:space="preserve"> conducted in patients with renal </w:t>
            </w:r>
            <w:r w:rsidR="004A288E">
              <w:rPr>
                <w:rFonts w:eastAsia="Arial"/>
                <w:sz w:val="20"/>
                <w:szCs w:val="20"/>
              </w:rPr>
              <w:t xml:space="preserve">or hepatic </w:t>
            </w:r>
            <w:r w:rsidRPr="001A6406">
              <w:rPr>
                <w:rFonts w:eastAsia="Arial"/>
                <w:sz w:val="20"/>
                <w:szCs w:val="20"/>
              </w:rPr>
              <w:t>impairment. Renal</w:t>
            </w:r>
            <w:r w:rsidR="004A288E">
              <w:rPr>
                <w:rFonts w:eastAsia="Arial"/>
                <w:sz w:val="20"/>
                <w:szCs w:val="20"/>
              </w:rPr>
              <w:t xml:space="preserve"> </w:t>
            </w:r>
            <w:r w:rsidR="003D0FC8">
              <w:rPr>
                <w:rFonts w:eastAsia="Arial"/>
                <w:sz w:val="20"/>
                <w:szCs w:val="20"/>
              </w:rPr>
              <w:t>or</w:t>
            </w:r>
            <w:r w:rsidR="004A288E">
              <w:rPr>
                <w:rFonts w:eastAsia="Arial"/>
                <w:sz w:val="20"/>
                <w:szCs w:val="20"/>
              </w:rPr>
              <w:t xml:space="preserve"> hepatic</w:t>
            </w:r>
            <w:r w:rsidRPr="001A6406">
              <w:rPr>
                <w:rFonts w:eastAsia="Arial"/>
                <w:sz w:val="20"/>
                <w:szCs w:val="20"/>
              </w:rPr>
              <w:t xml:space="preserve"> impairment is not expected to affect the pharmacokinetics of </w:t>
            </w:r>
            <w:proofErr w:type="spellStart"/>
            <w:r w:rsidRPr="001A6406">
              <w:rPr>
                <w:rFonts w:eastAsia="Arial"/>
                <w:sz w:val="20"/>
                <w:szCs w:val="20"/>
              </w:rPr>
              <w:t>rozanolixizumab-noli</w:t>
            </w:r>
            <w:proofErr w:type="spellEnd"/>
            <w:r w:rsidR="00653B14">
              <w:rPr>
                <w:rFonts w:eastAsia="Arial"/>
                <w:sz w:val="20"/>
                <w:szCs w:val="20"/>
              </w:rPr>
              <w:t>,</w:t>
            </w:r>
            <w:r w:rsidR="00294D3C">
              <w:rPr>
                <w:rFonts w:eastAsia="Arial"/>
                <w:sz w:val="20"/>
                <w:szCs w:val="20"/>
              </w:rPr>
              <w:t xml:space="preserve"> and no</w:t>
            </w:r>
            <w:r w:rsidR="00F45E7D">
              <w:rPr>
                <w:rFonts w:eastAsia="Arial"/>
                <w:sz w:val="20"/>
                <w:szCs w:val="20"/>
              </w:rPr>
              <w:t xml:space="preserve"> dos</w:t>
            </w:r>
            <w:r w:rsidR="00653B14">
              <w:rPr>
                <w:rFonts w:eastAsia="Arial"/>
                <w:sz w:val="20"/>
                <w:szCs w:val="20"/>
              </w:rPr>
              <w:t>age</w:t>
            </w:r>
            <w:r w:rsidR="00294D3C">
              <w:rPr>
                <w:rFonts w:eastAsia="Arial"/>
                <w:sz w:val="20"/>
                <w:szCs w:val="20"/>
              </w:rPr>
              <w:t xml:space="preserve"> adjustment</w:t>
            </w:r>
            <w:r w:rsidR="00F45E7D">
              <w:rPr>
                <w:rFonts w:eastAsia="Arial"/>
                <w:sz w:val="20"/>
                <w:szCs w:val="20"/>
              </w:rPr>
              <w:t xml:space="preserve"> is required.</w:t>
            </w:r>
          </w:p>
          <w:p w14:paraId="103842A0" w14:textId="77777777" w:rsidR="000133CA" w:rsidRPr="00653B14" w:rsidRDefault="000133CA" w:rsidP="000133CA">
            <w:pPr>
              <w:pStyle w:val="NoSpacing"/>
              <w:ind w:left="360"/>
              <w:rPr>
                <w:rFonts w:eastAsia="Arial"/>
                <w:sz w:val="20"/>
                <w:szCs w:val="20"/>
              </w:rPr>
            </w:pPr>
          </w:p>
          <w:p w14:paraId="6183DFF9" w14:textId="73441190" w:rsidR="009825C9" w:rsidRDefault="005F7044" w:rsidP="0077337F">
            <w:pPr>
              <w:pStyle w:val="NoSpacing"/>
              <w:rPr>
                <w:rFonts w:eastAsia="Arial"/>
                <w:sz w:val="20"/>
                <w:szCs w:val="20"/>
              </w:rPr>
            </w:pPr>
            <w:r>
              <w:rPr>
                <w:rFonts w:eastAsia="Arial"/>
                <w:sz w:val="20"/>
                <w:szCs w:val="20"/>
                <w:u w:val="single"/>
              </w:rPr>
              <w:t>Clinical Studies</w:t>
            </w:r>
          </w:p>
          <w:p w14:paraId="3DC86DB9" w14:textId="41CFE7DF" w:rsidR="00B916D9" w:rsidRDefault="00753FB7" w:rsidP="005F7044">
            <w:pPr>
              <w:pStyle w:val="NoSpacing"/>
              <w:numPr>
                <w:ilvl w:val="0"/>
                <w:numId w:val="31"/>
              </w:numPr>
              <w:rPr>
                <w:rFonts w:eastAsia="Arial"/>
                <w:sz w:val="20"/>
                <w:szCs w:val="20"/>
              </w:rPr>
            </w:pPr>
            <w:proofErr w:type="spellStart"/>
            <w:r w:rsidRPr="00F0495E">
              <w:rPr>
                <w:rFonts w:eastAsia="Arial"/>
                <w:sz w:val="20"/>
                <w:szCs w:val="20"/>
              </w:rPr>
              <w:t>MycarinG</w:t>
            </w:r>
            <w:proofErr w:type="spellEnd"/>
            <w:r w:rsidR="00CD3A32">
              <w:rPr>
                <w:rFonts w:eastAsia="Arial"/>
                <w:sz w:val="20"/>
                <w:szCs w:val="20"/>
              </w:rPr>
              <w:t xml:space="preserve"> </w:t>
            </w:r>
            <w:r w:rsidR="00CD3A32" w:rsidRPr="00F0495E">
              <w:rPr>
                <w:rFonts w:eastAsia="Arial"/>
                <w:sz w:val="20"/>
                <w:szCs w:val="20"/>
              </w:rPr>
              <w:t>(NCT03971422)</w:t>
            </w:r>
            <w:r w:rsidR="00DA1CFD">
              <w:rPr>
                <w:rFonts w:eastAsia="Arial"/>
                <w:sz w:val="20"/>
                <w:szCs w:val="20"/>
              </w:rPr>
              <w:t>: a</w:t>
            </w:r>
            <w:r w:rsidR="00DA1CFD" w:rsidRPr="00F0495E">
              <w:rPr>
                <w:rFonts w:eastAsia="Arial"/>
                <w:sz w:val="20"/>
                <w:szCs w:val="20"/>
              </w:rPr>
              <w:t xml:space="preserve"> </w:t>
            </w:r>
            <w:r w:rsidR="00DC2D5B">
              <w:rPr>
                <w:rFonts w:eastAsia="Arial"/>
                <w:sz w:val="20"/>
                <w:szCs w:val="20"/>
              </w:rPr>
              <w:t xml:space="preserve">Phase 3, </w:t>
            </w:r>
            <w:r w:rsidR="00DA1CFD" w:rsidRPr="00F0495E">
              <w:rPr>
                <w:rFonts w:eastAsia="Arial"/>
                <w:sz w:val="20"/>
                <w:szCs w:val="20"/>
              </w:rPr>
              <w:t>multicenter, randomized, double-blind, placebo-controlled study</w:t>
            </w:r>
            <w:r w:rsidR="00DA1CFD">
              <w:rPr>
                <w:rFonts w:eastAsia="Arial"/>
                <w:sz w:val="20"/>
                <w:szCs w:val="20"/>
              </w:rPr>
              <w:t xml:space="preserve"> conducted</w:t>
            </w:r>
            <w:r w:rsidR="00DA1CFD" w:rsidRPr="00F0495E">
              <w:rPr>
                <w:rFonts w:eastAsia="Arial"/>
                <w:sz w:val="20"/>
                <w:szCs w:val="20"/>
              </w:rPr>
              <w:t xml:space="preserve"> </w:t>
            </w:r>
            <w:r w:rsidR="00F4032B">
              <w:rPr>
                <w:rFonts w:eastAsia="Arial"/>
                <w:sz w:val="20"/>
                <w:szCs w:val="20"/>
              </w:rPr>
              <w:t>to demonstrate t</w:t>
            </w:r>
            <w:r w:rsidR="00F0495E" w:rsidRPr="00F0495E">
              <w:rPr>
                <w:rFonts w:eastAsia="Arial"/>
                <w:sz w:val="20"/>
                <w:szCs w:val="20"/>
              </w:rPr>
              <w:t xml:space="preserve">he efficacy of </w:t>
            </w:r>
            <w:proofErr w:type="spellStart"/>
            <w:r w:rsidR="00F0495E" w:rsidRPr="00F0495E">
              <w:rPr>
                <w:rFonts w:eastAsia="Arial"/>
                <w:sz w:val="20"/>
                <w:szCs w:val="20"/>
              </w:rPr>
              <w:t>Rystiggo</w:t>
            </w:r>
            <w:proofErr w:type="spellEnd"/>
            <w:r w:rsidR="00F0495E" w:rsidRPr="00F0495E">
              <w:rPr>
                <w:rFonts w:eastAsia="Arial"/>
                <w:sz w:val="20"/>
                <w:szCs w:val="20"/>
              </w:rPr>
              <w:t xml:space="preserve"> for the treatment of </w:t>
            </w:r>
            <w:proofErr w:type="spellStart"/>
            <w:r w:rsidR="00F0495E" w:rsidRPr="00F0495E">
              <w:rPr>
                <w:rFonts w:eastAsia="Arial"/>
                <w:sz w:val="20"/>
                <w:szCs w:val="20"/>
              </w:rPr>
              <w:t>gMG</w:t>
            </w:r>
            <w:proofErr w:type="spellEnd"/>
            <w:r w:rsidR="00F0495E" w:rsidRPr="00F0495E">
              <w:rPr>
                <w:rFonts w:eastAsia="Arial"/>
                <w:sz w:val="20"/>
                <w:szCs w:val="20"/>
              </w:rPr>
              <w:t xml:space="preserve"> in adults who are anti-</w:t>
            </w:r>
            <w:proofErr w:type="spellStart"/>
            <w:r w:rsidR="00F0495E" w:rsidRPr="00F0495E">
              <w:rPr>
                <w:rFonts w:eastAsia="Arial"/>
                <w:sz w:val="20"/>
                <w:szCs w:val="20"/>
              </w:rPr>
              <w:t>AChR</w:t>
            </w:r>
            <w:proofErr w:type="spellEnd"/>
            <w:r w:rsidR="00F0495E" w:rsidRPr="00F0495E">
              <w:rPr>
                <w:rFonts w:eastAsia="Arial"/>
                <w:sz w:val="20"/>
                <w:szCs w:val="20"/>
              </w:rPr>
              <w:t xml:space="preserve"> </w:t>
            </w:r>
            <w:r w:rsidR="00D60346">
              <w:rPr>
                <w:rFonts w:eastAsia="Arial"/>
                <w:sz w:val="20"/>
                <w:szCs w:val="20"/>
              </w:rPr>
              <w:t>Ab+</w:t>
            </w:r>
            <w:r w:rsidR="00F0495E" w:rsidRPr="00F0495E">
              <w:rPr>
                <w:rFonts w:eastAsia="Arial"/>
                <w:sz w:val="20"/>
                <w:szCs w:val="20"/>
              </w:rPr>
              <w:t xml:space="preserve"> or anti-</w:t>
            </w:r>
            <w:proofErr w:type="spellStart"/>
            <w:r w:rsidR="00F0495E" w:rsidRPr="00F0495E">
              <w:rPr>
                <w:rFonts w:eastAsia="Arial"/>
                <w:sz w:val="20"/>
                <w:szCs w:val="20"/>
              </w:rPr>
              <w:t>MuSK</w:t>
            </w:r>
            <w:proofErr w:type="spellEnd"/>
            <w:r w:rsidR="00F0495E" w:rsidRPr="00F0495E">
              <w:rPr>
                <w:rFonts w:eastAsia="Arial"/>
                <w:sz w:val="20"/>
                <w:szCs w:val="20"/>
              </w:rPr>
              <w:t xml:space="preserve"> </w:t>
            </w:r>
            <w:r w:rsidR="009B77E6">
              <w:rPr>
                <w:rFonts w:eastAsia="Arial"/>
                <w:sz w:val="20"/>
                <w:szCs w:val="20"/>
              </w:rPr>
              <w:t>Ab+</w:t>
            </w:r>
            <w:r w:rsidR="00F0495E" w:rsidRPr="00F0495E">
              <w:rPr>
                <w:rFonts w:eastAsia="Arial"/>
                <w:sz w:val="20"/>
                <w:szCs w:val="20"/>
              </w:rPr>
              <w:t xml:space="preserve"> </w:t>
            </w:r>
          </w:p>
          <w:p w14:paraId="69B33981" w14:textId="3D60F163" w:rsidR="005F7044" w:rsidRPr="005F7044" w:rsidRDefault="009D2DD4" w:rsidP="005F7044">
            <w:pPr>
              <w:pStyle w:val="NoSpacing"/>
              <w:numPr>
                <w:ilvl w:val="0"/>
                <w:numId w:val="31"/>
              </w:numPr>
              <w:rPr>
                <w:rFonts w:eastAsia="Arial"/>
                <w:sz w:val="20"/>
                <w:szCs w:val="20"/>
              </w:rPr>
            </w:pPr>
            <w:r>
              <w:rPr>
                <w:rFonts w:eastAsia="Arial"/>
                <w:sz w:val="20"/>
                <w:szCs w:val="20"/>
              </w:rPr>
              <w:t>The study</w:t>
            </w:r>
            <w:r w:rsidR="00F0495E" w:rsidRPr="00F0495E">
              <w:rPr>
                <w:rFonts w:eastAsia="Arial"/>
                <w:sz w:val="20"/>
                <w:szCs w:val="20"/>
              </w:rPr>
              <w:t xml:space="preserve"> included a 4-week screening period</w:t>
            </w:r>
            <w:r w:rsidR="00B41D41">
              <w:rPr>
                <w:rFonts w:eastAsia="Arial"/>
                <w:sz w:val="20"/>
                <w:szCs w:val="20"/>
              </w:rPr>
              <w:t xml:space="preserve"> </w:t>
            </w:r>
            <w:r w:rsidR="00F74DB2">
              <w:rPr>
                <w:rFonts w:eastAsia="Arial"/>
                <w:sz w:val="20"/>
                <w:szCs w:val="20"/>
              </w:rPr>
              <w:t>and</w:t>
            </w:r>
            <w:r w:rsidR="00B41D41">
              <w:rPr>
                <w:rFonts w:eastAsia="Arial"/>
                <w:sz w:val="20"/>
                <w:szCs w:val="20"/>
              </w:rPr>
              <w:t xml:space="preserve"> a</w:t>
            </w:r>
            <w:r w:rsidR="00F0495E" w:rsidRPr="00F0495E">
              <w:rPr>
                <w:rFonts w:eastAsia="Arial"/>
                <w:sz w:val="20"/>
                <w:szCs w:val="20"/>
              </w:rPr>
              <w:t xml:space="preserve"> 6-week treatment period, followed by 8 weeks of observation. During the treatment period, </w:t>
            </w:r>
            <w:proofErr w:type="spellStart"/>
            <w:r w:rsidR="00F0495E" w:rsidRPr="00F0495E">
              <w:rPr>
                <w:rFonts w:eastAsia="Arial"/>
                <w:sz w:val="20"/>
                <w:szCs w:val="20"/>
              </w:rPr>
              <w:t>Rystiggo</w:t>
            </w:r>
            <w:proofErr w:type="spellEnd"/>
            <w:r w:rsidR="00F0495E" w:rsidRPr="00F0495E">
              <w:rPr>
                <w:rFonts w:eastAsia="Arial"/>
                <w:sz w:val="20"/>
                <w:szCs w:val="20"/>
              </w:rPr>
              <w:t xml:space="preserve"> or placebo were administered as a SC infusion once a week for 6 weeks.</w:t>
            </w:r>
          </w:p>
          <w:p w14:paraId="4488BE42" w14:textId="77777777" w:rsidR="0077337F" w:rsidRDefault="0077337F" w:rsidP="0077337F">
            <w:pPr>
              <w:pStyle w:val="NoSpacing"/>
              <w:rPr>
                <w:rFonts w:eastAsia="Arial"/>
                <w:sz w:val="20"/>
                <w:szCs w:val="20"/>
              </w:rPr>
            </w:pPr>
          </w:p>
          <w:tbl>
            <w:tblPr>
              <w:tblStyle w:val="TableGrid"/>
              <w:tblW w:w="0" w:type="auto"/>
              <w:tblInd w:w="370" w:type="dxa"/>
              <w:tblLayout w:type="fixed"/>
              <w:tblLook w:val="04A0" w:firstRow="1" w:lastRow="0" w:firstColumn="1" w:lastColumn="0" w:noHBand="0" w:noVBand="1"/>
            </w:tblPr>
            <w:tblGrid>
              <w:gridCol w:w="1916"/>
              <w:gridCol w:w="5122"/>
            </w:tblGrid>
            <w:tr w:rsidR="008958B2" w14:paraId="7D42A3E9" w14:textId="77777777" w:rsidTr="00951835">
              <w:tc>
                <w:tcPr>
                  <w:tcW w:w="7038" w:type="dxa"/>
                  <w:gridSpan w:val="2"/>
                  <w:shd w:val="clear" w:color="auto" w:fill="FABF8F" w:themeFill="accent6" w:themeFillTint="99"/>
                </w:tcPr>
                <w:p w14:paraId="5228AB5B" w14:textId="45C77E50" w:rsidR="008958B2" w:rsidRPr="00496B9B" w:rsidRDefault="008958B2" w:rsidP="003339A6">
                  <w:pPr>
                    <w:pStyle w:val="NoSpacing"/>
                    <w:jc w:val="center"/>
                    <w:rPr>
                      <w:rFonts w:eastAsia="Arial"/>
                      <w:b/>
                      <w:bCs/>
                      <w:sz w:val="20"/>
                      <w:szCs w:val="20"/>
                    </w:rPr>
                  </w:pPr>
                  <w:proofErr w:type="spellStart"/>
                  <w:r>
                    <w:rPr>
                      <w:rFonts w:eastAsia="Arial"/>
                      <w:b/>
                      <w:bCs/>
                      <w:sz w:val="20"/>
                      <w:szCs w:val="20"/>
                    </w:rPr>
                    <w:t>MycarinG</w:t>
                  </w:r>
                  <w:proofErr w:type="spellEnd"/>
                  <w:r>
                    <w:rPr>
                      <w:rFonts w:eastAsia="Arial"/>
                      <w:b/>
                      <w:bCs/>
                      <w:sz w:val="20"/>
                      <w:szCs w:val="20"/>
                    </w:rPr>
                    <w:t xml:space="preserve"> (NCT03971422)</w:t>
                  </w:r>
                  <w:r w:rsidR="00E00309">
                    <w:rPr>
                      <w:rFonts w:eastAsia="Arial"/>
                      <w:b/>
                      <w:bCs/>
                      <w:sz w:val="20"/>
                      <w:szCs w:val="20"/>
                    </w:rPr>
                    <w:t xml:space="preserve"> Study Design Su</w:t>
                  </w:r>
                  <w:r w:rsidR="005F6F69">
                    <w:rPr>
                      <w:rFonts w:eastAsia="Arial"/>
                      <w:b/>
                      <w:bCs/>
                      <w:sz w:val="20"/>
                      <w:szCs w:val="20"/>
                    </w:rPr>
                    <w:t>mmary</w:t>
                  </w:r>
                </w:p>
              </w:tc>
            </w:tr>
            <w:tr w:rsidR="00B86494" w14:paraId="79C05CA8" w14:textId="77777777" w:rsidTr="00091E4F">
              <w:tc>
                <w:tcPr>
                  <w:tcW w:w="1916" w:type="dxa"/>
                </w:tcPr>
                <w:p w14:paraId="00972A65" w14:textId="6A45BC6F" w:rsidR="00B86494" w:rsidRPr="008958B2" w:rsidRDefault="008958B2" w:rsidP="008958B2">
                  <w:pPr>
                    <w:pStyle w:val="NoSpacing"/>
                    <w:jc w:val="center"/>
                    <w:rPr>
                      <w:rFonts w:eastAsia="Arial"/>
                      <w:b/>
                      <w:bCs/>
                      <w:sz w:val="20"/>
                      <w:szCs w:val="20"/>
                    </w:rPr>
                  </w:pPr>
                  <w:r>
                    <w:rPr>
                      <w:rFonts w:eastAsia="Arial"/>
                      <w:b/>
                      <w:bCs/>
                      <w:sz w:val="20"/>
                      <w:szCs w:val="20"/>
                    </w:rPr>
                    <w:t>Study Population (</w:t>
                  </w:r>
                  <w:r w:rsidR="005B5315">
                    <w:rPr>
                      <w:rFonts w:eastAsia="Arial"/>
                      <w:b/>
                      <w:bCs/>
                      <w:sz w:val="20"/>
                      <w:szCs w:val="20"/>
                    </w:rPr>
                    <w:t>n</w:t>
                  </w:r>
                  <w:r w:rsidR="007451E9">
                    <w:rPr>
                      <w:rFonts w:eastAsia="Arial"/>
                      <w:b/>
                      <w:bCs/>
                      <w:sz w:val="20"/>
                      <w:szCs w:val="20"/>
                    </w:rPr>
                    <w:t xml:space="preserve"> </w:t>
                  </w:r>
                  <w:r w:rsidR="005B5315">
                    <w:rPr>
                      <w:rFonts w:eastAsia="Arial"/>
                      <w:b/>
                      <w:bCs/>
                      <w:sz w:val="20"/>
                      <w:szCs w:val="20"/>
                    </w:rPr>
                    <w:t>=</w:t>
                  </w:r>
                  <w:r w:rsidR="007451E9">
                    <w:rPr>
                      <w:rFonts w:eastAsia="Arial"/>
                      <w:b/>
                      <w:bCs/>
                      <w:sz w:val="20"/>
                      <w:szCs w:val="20"/>
                    </w:rPr>
                    <w:t xml:space="preserve"> </w:t>
                  </w:r>
                  <w:r>
                    <w:rPr>
                      <w:rFonts w:eastAsia="Arial"/>
                      <w:b/>
                      <w:bCs/>
                      <w:sz w:val="20"/>
                      <w:szCs w:val="20"/>
                    </w:rPr>
                    <w:t>200)</w:t>
                  </w:r>
                </w:p>
              </w:tc>
              <w:tc>
                <w:tcPr>
                  <w:tcW w:w="5122" w:type="dxa"/>
                </w:tcPr>
                <w:p w14:paraId="0E9920C4" w14:textId="77777777" w:rsidR="00134E89" w:rsidRDefault="00134E89" w:rsidP="002043C2">
                  <w:pPr>
                    <w:pStyle w:val="NoSpacing"/>
                    <w:rPr>
                      <w:rFonts w:eastAsia="Arial"/>
                      <w:sz w:val="20"/>
                      <w:szCs w:val="20"/>
                    </w:rPr>
                  </w:pPr>
                  <w:r w:rsidRPr="00134E89">
                    <w:rPr>
                      <w:rFonts w:eastAsia="Arial"/>
                      <w:sz w:val="20"/>
                      <w:szCs w:val="20"/>
                    </w:rPr>
                    <w:t xml:space="preserve">Median age: 52 years (range, 18–89 years) </w:t>
                  </w:r>
                </w:p>
                <w:p w14:paraId="5B26596F" w14:textId="77777777" w:rsidR="00B257DE" w:rsidRPr="00134E89" w:rsidRDefault="00B257DE" w:rsidP="00B257DE">
                  <w:pPr>
                    <w:pStyle w:val="NoSpacing"/>
                    <w:ind w:left="360"/>
                    <w:rPr>
                      <w:rFonts w:eastAsia="Arial"/>
                      <w:sz w:val="20"/>
                      <w:szCs w:val="20"/>
                    </w:rPr>
                  </w:pPr>
                </w:p>
                <w:p w14:paraId="238AB75D" w14:textId="4E2F94CF" w:rsidR="00134E89" w:rsidRDefault="00134E89" w:rsidP="002043C2">
                  <w:pPr>
                    <w:pStyle w:val="NoSpacing"/>
                    <w:rPr>
                      <w:rFonts w:eastAsia="Arial"/>
                      <w:sz w:val="20"/>
                      <w:szCs w:val="20"/>
                    </w:rPr>
                  </w:pPr>
                  <w:r w:rsidRPr="00134E89">
                    <w:rPr>
                      <w:rFonts w:eastAsia="Arial"/>
                      <w:sz w:val="20"/>
                      <w:szCs w:val="20"/>
                    </w:rPr>
                    <w:t xml:space="preserve">Median time since diagnosis: 6 years </w:t>
                  </w:r>
                </w:p>
                <w:p w14:paraId="1E639A06" w14:textId="77777777" w:rsidR="00B257DE" w:rsidRPr="00134E89" w:rsidRDefault="00B257DE" w:rsidP="00B257DE">
                  <w:pPr>
                    <w:pStyle w:val="NoSpacing"/>
                    <w:rPr>
                      <w:rFonts w:eastAsia="Arial"/>
                      <w:sz w:val="20"/>
                      <w:szCs w:val="20"/>
                    </w:rPr>
                  </w:pPr>
                </w:p>
                <w:p w14:paraId="1BA936CD" w14:textId="6B223A8A" w:rsidR="00134E89" w:rsidRDefault="00134E89" w:rsidP="002043C2">
                  <w:pPr>
                    <w:pStyle w:val="NoSpacing"/>
                    <w:rPr>
                      <w:rFonts w:eastAsia="Arial"/>
                      <w:sz w:val="20"/>
                      <w:szCs w:val="20"/>
                    </w:rPr>
                  </w:pPr>
                  <w:r w:rsidRPr="00134E89">
                    <w:rPr>
                      <w:rFonts w:eastAsia="Arial"/>
                      <w:sz w:val="20"/>
                      <w:szCs w:val="20"/>
                    </w:rPr>
                    <w:t xml:space="preserve">61% female </w:t>
                  </w:r>
                </w:p>
                <w:p w14:paraId="2143523D" w14:textId="102A0B5F" w:rsidR="00B257DE" w:rsidRPr="00134E89" w:rsidRDefault="00B257DE" w:rsidP="00B257DE">
                  <w:pPr>
                    <w:pStyle w:val="NoSpacing"/>
                    <w:rPr>
                      <w:rFonts w:eastAsia="Arial"/>
                      <w:sz w:val="20"/>
                      <w:szCs w:val="20"/>
                    </w:rPr>
                  </w:pPr>
                </w:p>
                <w:p w14:paraId="3C456BDC" w14:textId="77777777" w:rsidR="00B163AE" w:rsidRDefault="00134E89" w:rsidP="002043C2">
                  <w:pPr>
                    <w:pStyle w:val="NoSpacing"/>
                    <w:rPr>
                      <w:rFonts w:eastAsia="Arial"/>
                      <w:sz w:val="20"/>
                      <w:szCs w:val="20"/>
                    </w:rPr>
                  </w:pPr>
                  <w:r w:rsidRPr="00134E89">
                    <w:rPr>
                      <w:rFonts w:eastAsia="Arial"/>
                      <w:sz w:val="20"/>
                      <w:szCs w:val="20"/>
                    </w:rPr>
                    <w:t>68% White; 11% Asian; 3% Black or African</w:t>
                  </w:r>
                </w:p>
                <w:p w14:paraId="7465CF88" w14:textId="77777777" w:rsidR="00626A6A" w:rsidRDefault="00134E89" w:rsidP="002043C2">
                  <w:pPr>
                    <w:pStyle w:val="NoSpacing"/>
                    <w:rPr>
                      <w:rFonts w:eastAsia="Arial"/>
                      <w:sz w:val="20"/>
                      <w:szCs w:val="20"/>
                    </w:rPr>
                  </w:pPr>
                  <w:r w:rsidRPr="00134E89">
                    <w:rPr>
                      <w:rFonts w:eastAsia="Arial"/>
                      <w:sz w:val="20"/>
                      <w:szCs w:val="20"/>
                    </w:rPr>
                    <w:t>American; 1% American Indian or Alaska Native</w:t>
                  </w:r>
                </w:p>
                <w:p w14:paraId="45A827A8" w14:textId="09935663" w:rsidR="00134E89" w:rsidRPr="00134E89" w:rsidRDefault="00134E89" w:rsidP="00626A6A">
                  <w:pPr>
                    <w:pStyle w:val="NoSpacing"/>
                    <w:rPr>
                      <w:rFonts w:eastAsia="Arial"/>
                      <w:sz w:val="20"/>
                      <w:szCs w:val="20"/>
                    </w:rPr>
                  </w:pPr>
                  <w:r w:rsidRPr="00134E89">
                    <w:rPr>
                      <w:rFonts w:eastAsia="Arial"/>
                      <w:sz w:val="20"/>
                      <w:szCs w:val="20"/>
                    </w:rPr>
                    <w:t xml:space="preserve"> </w:t>
                  </w:r>
                </w:p>
                <w:p w14:paraId="5F063DAB" w14:textId="2E236375" w:rsidR="00134E89" w:rsidRDefault="00134E89" w:rsidP="002043C2">
                  <w:pPr>
                    <w:pStyle w:val="NoSpacing"/>
                    <w:rPr>
                      <w:rFonts w:eastAsia="Arial"/>
                      <w:sz w:val="20"/>
                      <w:szCs w:val="20"/>
                    </w:rPr>
                  </w:pPr>
                  <w:r w:rsidRPr="00134E89">
                    <w:rPr>
                      <w:rFonts w:eastAsia="Arial"/>
                      <w:sz w:val="20"/>
                      <w:szCs w:val="20"/>
                    </w:rPr>
                    <w:t xml:space="preserve">7% Hispanic or Latino ethnicity </w:t>
                  </w:r>
                </w:p>
                <w:p w14:paraId="314F3B22" w14:textId="77777777" w:rsidR="00626A6A" w:rsidRPr="00134E89" w:rsidRDefault="00626A6A" w:rsidP="00626A6A">
                  <w:pPr>
                    <w:pStyle w:val="NoSpacing"/>
                    <w:rPr>
                      <w:rFonts w:eastAsia="Arial"/>
                      <w:sz w:val="20"/>
                      <w:szCs w:val="20"/>
                    </w:rPr>
                  </w:pPr>
                </w:p>
                <w:p w14:paraId="0D78C55B" w14:textId="07D9988D" w:rsidR="00134E89" w:rsidRDefault="00134E89" w:rsidP="002043C2">
                  <w:pPr>
                    <w:pStyle w:val="NoSpacing"/>
                    <w:rPr>
                      <w:rFonts w:eastAsia="Arial"/>
                      <w:sz w:val="20"/>
                      <w:szCs w:val="20"/>
                    </w:rPr>
                  </w:pPr>
                  <w:r w:rsidRPr="00134E89">
                    <w:rPr>
                      <w:rFonts w:eastAsia="Arial"/>
                      <w:sz w:val="20"/>
                      <w:szCs w:val="20"/>
                    </w:rPr>
                    <w:t xml:space="preserve">Median </w:t>
                  </w:r>
                  <w:r w:rsidR="00813FD5">
                    <w:rPr>
                      <w:rFonts w:eastAsia="Arial"/>
                      <w:sz w:val="20"/>
                      <w:szCs w:val="20"/>
                    </w:rPr>
                    <w:t>M</w:t>
                  </w:r>
                  <w:r w:rsidR="00634F20">
                    <w:rPr>
                      <w:rFonts w:eastAsia="Arial"/>
                      <w:sz w:val="20"/>
                      <w:szCs w:val="20"/>
                    </w:rPr>
                    <w:t xml:space="preserve">yasthenia </w:t>
                  </w:r>
                  <w:r w:rsidR="00813FD5">
                    <w:rPr>
                      <w:rFonts w:eastAsia="Arial"/>
                      <w:sz w:val="20"/>
                      <w:szCs w:val="20"/>
                    </w:rPr>
                    <w:t>G</w:t>
                  </w:r>
                  <w:r w:rsidR="00634F20">
                    <w:rPr>
                      <w:rFonts w:eastAsia="Arial"/>
                      <w:sz w:val="20"/>
                      <w:szCs w:val="20"/>
                    </w:rPr>
                    <w:t>ravis</w:t>
                  </w:r>
                  <w:r w:rsidR="00ED2255">
                    <w:rPr>
                      <w:rFonts w:eastAsia="Arial"/>
                      <w:sz w:val="20"/>
                      <w:szCs w:val="20"/>
                    </w:rPr>
                    <w:t>-</w:t>
                  </w:r>
                  <w:r w:rsidR="00813FD5">
                    <w:rPr>
                      <w:rFonts w:eastAsia="Arial"/>
                      <w:sz w:val="20"/>
                      <w:szCs w:val="20"/>
                    </w:rPr>
                    <w:t>A</w:t>
                  </w:r>
                  <w:r w:rsidR="00634F20">
                    <w:rPr>
                      <w:rFonts w:eastAsia="Arial"/>
                      <w:sz w:val="20"/>
                      <w:szCs w:val="20"/>
                    </w:rPr>
                    <w:t xml:space="preserve">ctivities of </w:t>
                  </w:r>
                  <w:r w:rsidR="00813FD5">
                    <w:rPr>
                      <w:rFonts w:eastAsia="Arial"/>
                      <w:sz w:val="20"/>
                      <w:szCs w:val="20"/>
                    </w:rPr>
                    <w:t>D</w:t>
                  </w:r>
                  <w:r w:rsidR="00634F20">
                    <w:rPr>
                      <w:rFonts w:eastAsia="Arial"/>
                      <w:sz w:val="20"/>
                      <w:szCs w:val="20"/>
                    </w:rPr>
                    <w:t xml:space="preserve">aily </w:t>
                  </w:r>
                  <w:r w:rsidR="00813FD5">
                    <w:rPr>
                      <w:rFonts w:eastAsia="Arial"/>
                      <w:sz w:val="20"/>
                      <w:szCs w:val="20"/>
                    </w:rPr>
                    <w:t>L</w:t>
                  </w:r>
                  <w:r w:rsidR="00634F20">
                    <w:rPr>
                      <w:rFonts w:eastAsia="Arial"/>
                      <w:sz w:val="20"/>
                      <w:szCs w:val="20"/>
                    </w:rPr>
                    <w:t xml:space="preserve">iving </w:t>
                  </w:r>
                  <w:r w:rsidR="00223BCE">
                    <w:rPr>
                      <w:rFonts w:eastAsia="Arial"/>
                      <w:sz w:val="20"/>
                      <w:szCs w:val="20"/>
                    </w:rPr>
                    <w:t>(</w:t>
                  </w:r>
                  <w:r w:rsidRPr="00134E89">
                    <w:rPr>
                      <w:rFonts w:eastAsia="Arial"/>
                      <w:sz w:val="20"/>
                      <w:szCs w:val="20"/>
                    </w:rPr>
                    <w:t>MG-AD</w:t>
                  </w:r>
                  <w:r w:rsidR="00634F20">
                    <w:rPr>
                      <w:rFonts w:eastAsia="Arial"/>
                      <w:sz w:val="20"/>
                      <w:szCs w:val="20"/>
                    </w:rPr>
                    <w:t>L</w:t>
                  </w:r>
                  <w:r w:rsidR="00223BCE">
                    <w:rPr>
                      <w:rFonts w:eastAsia="Arial"/>
                      <w:sz w:val="20"/>
                      <w:szCs w:val="20"/>
                    </w:rPr>
                    <w:t>)</w:t>
                  </w:r>
                  <w:r w:rsidRPr="00134E89">
                    <w:rPr>
                      <w:rFonts w:eastAsia="Arial"/>
                      <w:sz w:val="20"/>
                      <w:szCs w:val="20"/>
                    </w:rPr>
                    <w:t xml:space="preserve"> total score: 8 </w:t>
                  </w:r>
                </w:p>
                <w:p w14:paraId="2718B954" w14:textId="77777777" w:rsidR="00626A6A" w:rsidRPr="00134E89" w:rsidRDefault="00626A6A" w:rsidP="00626A6A">
                  <w:pPr>
                    <w:pStyle w:val="NoSpacing"/>
                    <w:rPr>
                      <w:rFonts w:eastAsia="Arial"/>
                      <w:sz w:val="20"/>
                      <w:szCs w:val="20"/>
                    </w:rPr>
                  </w:pPr>
                </w:p>
                <w:p w14:paraId="6D37EDAD" w14:textId="5CA00447" w:rsidR="00134E89" w:rsidRDefault="00134E89" w:rsidP="002043C2">
                  <w:pPr>
                    <w:pStyle w:val="NoSpacing"/>
                    <w:rPr>
                      <w:rFonts w:eastAsia="Arial"/>
                      <w:sz w:val="20"/>
                      <w:szCs w:val="20"/>
                    </w:rPr>
                  </w:pPr>
                  <w:r w:rsidRPr="00134E89">
                    <w:rPr>
                      <w:rFonts w:eastAsia="Arial"/>
                      <w:sz w:val="20"/>
                      <w:szCs w:val="20"/>
                    </w:rPr>
                    <w:t xml:space="preserve">Median </w:t>
                  </w:r>
                  <w:r w:rsidR="009328F1">
                    <w:rPr>
                      <w:rFonts w:eastAsia="Arial"/>
                      <w:sz w:val="20"/>
                      <w:szCs w:val="20"/>
                    </w:rPr>
                    <w:t>Q</w:t>
                  </w:r>
                  <w:r w:rsidR="00477B0E">
                    <w:rPr>
                      <w:rFonts w:eastAsia="Arial"/>
                      <w:sz w:val="20"/>
                      <w:szCs w:val="20"/>
                    </w:rPr>
                    <w:t xml:space="preserve">uantitative </w:t>
                  </w:r>
                  <w:r w:rsidR="009328F1">
                    <w:rPr>
                      <w:rFonts w:eastAsia="Arial"/>
                      <w:sz w:val="20"/>
                      <w:szCs w:val="20"/>
                    </w:rPr>
                    <w:t>M</w:t>
                  </w:r>
                  <w:r w:rsidR="00477B0E">
                    <w:rPr>
                      <w:rFonts w:eastAsia="Arial"/>
                      <w:sz w:val="20"/>
                      <w:szCs w:val="20"/>
                    </w:rPr>
                    <w:t xml:space="preserve">yasthenia </w:t>
                  </w:r>
                  <w:r w:rsidR="009328F1">
                    <w:rPr>
                      <w:rFonts w:eastAsia="Arial"/>
                      <w:sz w:val="20"/>
                      <w:szCs w:val="20"/>
                    </w:rPr>
                    <w:t>G</w:t>
                  </w:r>
                  <w:r w:rsidR="00477B0E">
                    <w:rPr>
                      <w:rFonts w:eastAsia="Arial"/>
                      <w:sz w:val="20"/>
                      <w:szCs w:val="20"/>
                    </w:rPr>
                    <w:t>ravis (</w:t>
                  </w:r>
                  <w:r w:rsidRPr="00134E89">
                    <w:rPr>
                      <w:rFonts w:eastAsia="Arial"/>
                      <w:sz w:val="20"/>
                      <w:szCs w:val="20"/>
                    </w:rPr>
                    <w:t>QM</w:t>
                  </w:r>
                  <w:r w:rsidR="00477B0E">
                    <w:rPr>
                      <w:rFonts w:eastAsia="Arial"/>
                      <w:sz w:val="20"/>
                      <w:szCs w:val="20"/>
                    </w:rPr>
                    <w:t>G)</w:t>
                  </w:r>
                  <w:r w:rsidRPr="00134E89">
                    <w:rPr>
                      <w:rFonts w:eastAsia="Arial"/>
                      <w:sz w:val="20"/>
                      <w:szCs w:val="20"/>
                    </w:rPr>
                    <w:t xml:space="preserve"> total score: 15 </w:t>
                  </w:r>
                </w:p>
                <w:p w14:paraId="745BD539" w14:textId="77777777" w:rsidR="00626A6A" w:rsidRPr="00134E89" w:rsidRDefault="00626A6A" w:rsidP="00626A6A">
                  <w:pPr>
                    <w:pStyle w:val="NoSpacing"/>
                    <w:rPr>
                      <w:rFonts w:eastAsia="Arial"/>
                      <w:sz w:val="20"/>
                      <w:szCs w:val="20"/>
                    </w:rPr>
                  </w:pPr>
                </w:p>
                <w:p w14:paraId="15A5F9D7" w14:textId="6C527052" w:rsidR="00134E89" w:rsidRDefault="00134E89" w:rsidP="002043C2">
                  <w:pPr>
                    <w:pStyle w:val="NoSpacing"/>
                    <w:rPr>
                      <w:rFonts w:eastAsia="Arial"/>
                      <w:sz w:val="20"/>
                      <w:szCs w:val="20"/>
                    </w:rPr>
                  </w:pPr>
                  <w:r w:rsidRPr="00134E89">
                    <w:rPr>
                      <w:rFonts w:eastAsia="Arial"/>
                      <w:sz w:val="20"/>
                      <w:szCs w:val="20"/>
                    </w:rPr>
                    <w:t>89.5%</w:t>
                  </w:r>
                  <w:r w:rsidR="005B5315">
                    <w:rPr>
                      <w:rFonts w:eastAsia="Arial"/>
                      <w:sz w:val="20"/>
                      <w:szCs w:val="20"/>
                    </w:rPr>
                    <w:t xml:space="preserve"> (n=179)</w:t>
                  </w:r>
                  <w:r w:rsidRPr="00134E89">
                    <w:rPr>
                      <w:rFonts w:eastAsia="Arial"/>
                      <w:sz w:val="20"/>
                      <w:szCs w:val="20"/>
                    </w:rPr>
                    <w:t xml:space="preserve"> were positive for </w:t>
                  </w:r>
                  <w:proofErr w:type="spellStart"/>
                  <w:r w:rsidRPr="00134E89">
                    <w:rPr>
                      <w:rFonts w:eastAsia="Arial"/>
                      <w:sz w:val="20"/>
                      <w:szCs w:val="20"/>
                    </w:rPr>
                    <w:t>AChR</w:t>
                  </w:r>
                  <w:proofErr w:type="spellEnd"/>
                  <w:r w:rsidRPr="00134E89">
                    <w:rPr>
                      <w:rFonts w:eastAsia="Arial"/>
                      <w:sz w:val="20"/>
                      <w:szCs w:val="20"/>
                    </w:rPr>
                    <w:t xml:space="preserve"> antibodies; 10.5%</w:t>
                  </w:r>
                  <w:r w:rsidR="005B5315">
                    <w:rPr>
                      <w:rFonts w:eastAsia="Arial"/>
                      <w:sz w:val="20"/>
                      <w:szCs w:val="20"/>
                    </w:rPr>
                    <w:t xml:space="preserve"> (n=21)</w:t>
                  </w:r>
                  <w:r w:rsidRPr="00134E89">
                    <w:rPr>
                      <w:rFonts w:eastAsia="Arial"/>
                      <w:sz w:val="20"/>
                      <w:szCs w:val="20"/>
                    </w:rPr>
                    <w:t xml:space="preserve"> were positive for anti-</w:t>
                  </w:r>
                  <w:proofErr w:type="spellStart"/>
                  <w:r w:rsidRPr="00134E89">
                    <w:rPr>
                      <w:rFonts w:eastAsia="Arial"/>
                      <w:sz w:val="20"/>
                      <w:szCs w:val="20"/>
                    </w:rPr>
                    <w:t>MuSK</w:t>
                  </w:r>
                  <w:proofErr w:type="spellEnd"/>
                  <w:r w:rsidRPr="00134E89">
                    <w:rPr>
                      <w:rFonts w:eastAsia="Arial"/>
                      <w:sz w:val="20"/>
                      <w:szCs w:val="20"/>
                    </w:rPr>
                    <w:t xml:space="preserve"> antibodies </w:t>
                  </w:r>
                </w:p>
                <w:p w14:paraId="674CF259" w14:textId="77777777" w:rsidR="00626A6A" w:rsidRPr="00134E89" w:rsidRDefault="00626A6A" w:rsidP="00626A6A">
                  <w:pPr>
                    <w:pStyle w:val="NoSpacing"/>
                    <w:rPr>
                      <w:rFonts w:eastAsia="Arial"/>
                      <w:sz w:val="20"/>
                      <w:szCs w:val="20"/>
                    </w:rPr>
                  </w:pPr>
                </w:p>
                <w:p w14:paraId="424204D6" w14:textId="4E9F70F6" w:rsidR="00B86494" w:rsidRPr="00131226" w:rsidRDefault="00134E89" w:rsidP="002043C2">
                  <w:pPr>
                    <w:pStyle w:val="NoSpacing"/>
                    <w:rPr>
                      <w:rFonts w:eastAsia="Arial"/>
                      <w:sz w:val="20"/>
                      <w:szCs w:val="20"/>
                    </w:rPr>
                  </w:pPr>
                  <w:r w:rsidRPr="00134E89">
                    <w:rPr>
                      <w:rFonts w:eastAsia="Arial"/>
                      <w:sz w:val="20"/>
                      <w:szCs w:val="20"/>
                    </w:rPr>
                    <w:t xml:space="preserve">At baseline, more than 83% of patients received </w:t>
                  </w:r>
                  <w:proofErr w:type="spellStart"/>
                  <w:r w:rsidRPr="00134E89">
                    <w:rPr>
                      <w:rFonts w:eastAsia="Arial"/>
                      <w:sz w:val="20"/>
                      <w:szCs w:val="20"/>
                    </w:rPr>
                    <w:t>AChE</w:t>
                  </w:r>
                  <w:proofErr w:type="spellEnd"/>
                  <w:r w:rsidRPr="00134E89">
                    <w:rPr>
                      <w:rFonts w:eastAsia="Arial"/>
                      <w:sz w:val="20"/>
                      <w:szCs w:val="20"/>
                    </w:rPr>
                    <w:t xml:space="preserve"> inhibitors, more than 56% received steroids, and </w:t>
                  </w:r>
                  <w:r w:rsidR="009648FE">
                    <w:rPr>
                      <w:rFonts w:eastAsia="Arial"/>
                      <w:sz w:val="20"/>
                      <w:szCs w:val="20"/>
                    </w:rPr>
                    <w:t>~</w:t>
                  </w:r>
                  <w:r w:rsidRPr="00134E89">
                    <w:rPr>
                      <w:rFonts w:eastAsia="Arial"/>
                      <w:sz w:val="20"/>
                      <w:szCs w:val="20"/>
                    </w:rPr>
                    <w:t xml:space="preserve">50% received </w:t>
                  </w:r>
                  <w:r w:rsidR="00A96D27">
                    <w:rPr>
                      <w:rFonts w:eastAsia="Arial"/>
                      <w:sz w:val="20"/>
                      <w:szCs w:val="20"/>
                    </w:rPr>
                    <w:t>non-steroidal immunosuppressive therapies (</w:t>
                  </w:r>
                  <w:r w:rsidRPr="00134E89">
                    <w:rPr>
                      <w:rFonts w:eastAsia="Arial"/>
                      <w:sz w:val="20"/>
                      <w:szCs w:val="20"/>
                    </w:rPr>
                    <w:t>NSIST</w:t>
                  </w:r>
                  <w:r w:rsidR="00A96D27">
                    <w:rPr>
                      <w:rFonts w:eastAsia="Arial"/>
                      <w:sz w:val="20"/>
                      <w:szCs w:val="20"/>
                    </w:rPr>
                    <w:t>s)</w:t>
                  </w:r>
                  <w:r w:rsidRPr="00134E89">
                    <w:rPr>
                      <w:rFonts w:eastAsia="Arial"/>
                      <w:sz w:val="20"/>
                      <w:szCs w:val="20"/>
                    </w:rPr>
                    <w:t xml:space="preserve"> at stable doses </w:t>
                  </w:r>
                </w:p>
              </w:tc>
            </w:tr>
            <w:tr w:rsidR="00B86494" w14:paraId="7BBA7F42" w14:textId="77777777" w:rsidTr="00091E4F">
              <w:tc>
                <w:tcPr>
                  <w:tcW w:w="1916" w:type="dxa"/>
                </w:tcPr>
                <w:p w14:paraId="2CDF92E0" w14:textId="380FC870" w:rsidR="00B86494" w:rsidRPr="009D3BD9" w:rsidRDefault="009D3BD9" w:rsidP="00071B58">
                  <w:pPr>
                    <w:pStyle w:val="NoSpacing"/>
                    <w:ind w:left="360"/>
                    <w:jc w:val="center"/>
                    <w:rPr>
                      <w:rFonts w:eastAsia="Arial"/>
                      <w:b/>
                      <w:bCs/>
                      <w:sz w:val="20"/>
                      <w:szCs w:val="20"/>
                    </w:rPr>
                  </w:pPr>
                  <w:r>
                    <w:rPr>
                      <w:rFonts w:eastAsia="Arial"/>
                      <w:b/>
                      <w:bCs/>
                      <w:sz w:val="20"/>
                      <w:szCs w:val="20"/>
                    </w:rPr>
                    <w:t>Inclusion Criteria</w:t>
                  </w:r>
                </w:p>
              </w:tc>
              <w:tc>
                <w:tcPr>
                  <w:tcW w:w="5122" w:type="dxa"/>
                </w:tcPr>
                <w:p w14:paraId="1CB5C12B" w14:textId="6A322030" w:rsidR="00CB05E4" w:rsidRDefault="00CB05E4" w:rsidP="005364DE">
                  <w:pPr>
                    <w:pStyle w:val="NoSpacing"/>
                    <w:rPr>
                      <w:rFonts w:eastAsia="Arial"/>
                      <w:sz w:val="20"/>
                      <w:szCs w:val="20"/>
                    </w:rPr>
                  </w:pPr>
                  <w:r w:rsidRPr="00C9012B">
                    <w:rPr>
                      <w:rFonts w:eastAsia="Arial"/>
                      <w:sz w:val="20"/>
                      <w:szCs w:val="20"/>
                    </w:rPr>
                    <w:t xml:space="preserve">≥18 years of age with </w:t>
                  </w:r>
                  <w:proofErr w:type="spellStart"/>
                  <w:r w:rsidRPr="00C9012B">
                    <w:rPr>
                      <w:rFonts w:eastAsia="Arial"/>
                      <w:sz w:val="20"/>
                      <w:szCs w:val="20"/>
                    </w:rPr>
                    <w:t>gMG</w:t>
                  </w:r>
                  <w:proofErr w:type="spellEnd"/>
                  <w:r w:rsidRPr="00C9012B">
                    <w:rPr>
                      <w:rFonts w:eastAsia="Arial"/>
                      <w:sz w:val="20"/>
                      <w:szCs w:val="20"/>
                    </w:rPr>
                    <w:t xml:space="preserve"> diagnosis and confirmed positive record of autoantibodies against </w:t>
                  </w:r>
                  <w:proofErr w:type="spellStart"/>
                  <w:r w:rsidRPr="00C9012B">
                    <w:rPr>
                      <w:rFonts w:eastAsia="Arial"/>
                      <w:sz w:val="20"/>
                      <w:szCs w:val="20"/>
                    </w:rPr>
                    <w:t>AChR</w:t>
                  </w:r>
                  <w:proofErr w:type="spellEnd"/>
                  <w:r w:rsidRPr="00C9012B">
                    <w:rPr>
                      <w:rFonts w:eastAsia="Arial"/>
                      <w:sz w:val="20"/>
                      <w:szCs w:val="20"/>
                    </w:rPr>
                    <w:t xml:space="preserve"> or </w:t>
                  </w:r>
                  <w:proofErr w:type="spellStart"/>
                  <w:r w:rsidRPr="00C9012B">
                    <w:rPr>
                      <w:rFonts w:eastAsia="Arial"/>
                      <w:sz w:val="20"/>
                      <w:szCs w:val="20"/>
                    </w:rPr>
                    <w:t>MuSK</w:t>
                  </w:r>
                  <w:proofErr w:type="spellEnd"/>
                  <w:r w:rsidRPr="00C9012B">
                    <w:rPr>
                      <w:rFonts w:eastAsia="Arial"/>
                      <w:sz w:val="20"/>
                      <w:szCs w:val="20"/>
                    </w:rPr>
                    <w:t xml:space="preserve"> at </w:t>
                  </w:r>
                  <w:proofErr w:type="gramStart"/>
                  <w:r w:rsidRPr="00C9012B">
                    <w:rPr>
                      <w:rFonts w:eastAsia="Arial"/>
                      <w:sz w:val="20"/>
                      <w:szCs w:val="20"/>
                    </w:rPr>
                    <w:t>screening</w:t>
                  </w:r>
                  <w:proofErr w:type="gramEnd"/>
                  <w:r w:rsidRPr="00C9012B">
                    <w:rPr>
                      <w:rFonts w:eastAsia="Arial"/>
                      <w:sz w:val="20"/>
                      <w:szCs w:val="20"/>
                    </w:rPr>
                    <w:t xml:space="preserve"> </w:t>
                  </w:r>
                </w:p>
                <w:p w14:paraId="5A195F67" w14:textId="77777777" w:rsidR="005364DE" w:rsidRPr="00C9012B" w:rsidRDefault="005364DE" w:rsidP="005364DE">
                  <w:pPr>
                    <w:pStyle w:val="NoSpacing"/>
                    <w:rPr>
                      <w:rFonts w:eastAsia="Arial"/>
                      <w:sz w:val="20"/>
                      <w:szCs w:val="20"/>
                    </w:rPr>
                  </w:pPr>
                </w:p>
                <w:p w14:paraId="03C0458C" w14:textId="32B6BE05" w:rsidR="00CB05E4" w:rsidRPr="00C9012B" w:rsidRDefault="00CB05E4" w:rsidP="005364DE">
                  <w:pPr>
                    <w:pStyle w:val="NoSpacing"/>
                    <w:rPr>
                      <w:rFonts w:eastAsia="Arial"/>
                      <w:sz w:val="20"/>
                      <w:szCs w:val="20"/>
                    </w:rPr>
                  </w:pPr>
                  <w:r w:rsidRPr="00C9012B">
                    <w:rPr>
                      <w:rFonts w:eastAsia="Arial"/>
                      <w:sz w:val="20"/>
                      <w:szCs w:val="20"/>
                    </w:rPr>
                    <w:t xml:space="preserve">Presence of autoantibodies against </w:t>
                  </w:r>
                  <w:proofErr w:type="spellStart"/>
                  <w:r w:rsidRPr="00C9012B">
                    <w:rPr>
                      <w:rFonts w:eastAsia="Arial"/>
                      <w:sz w:val="20"/>
                      <w:szCs w:val="20"/>
                    </w:rPr>
                    <w:t>AChR</w:t>
                  </w:r>
                  <w:proofErr w:type="spellEnd"/>
                  <w:r w:rsidRPr="00C9012B">
                    <w:rPr>
                      <w:rFonts w:eastAsia="Arial"/>
                      <w:sz w:val="20"/>
                      <w:szCs w:val="20"/>
                    </w:rPr>
                    <w:t xml:space="preserve"> or </w:t>
                  </w:r>
                  <w:proofErr w:type="spellStart"/>
                  <w:r w:rsidRPr="00C9012B">
                    <w:rPr>
                      <w:rFonts w:eastAsia="Arial"/>
                      <w:sz w:val="20"/>
                      <w:szCs w:val="20"/>
                    </w:rPr>
                    <w:t>MuSK</w:t>
                  </w:r>
                  <w:proofErr w:type="spellEnd"/>
                  <w:r w:rsidRPr="00C9012B">
                    <w:rPr>
                      <w:rFonts w:eastAsia="Arial"/>
                      <w:sz w:val="20"/>
                      <w:szCs w:val="20"/>
                    </w:rPr>
                    <w:t xml:space="preserve"> </w:t>
                  </w:r>
                </w:p>
                <w:p w14:paraId="542C302D" w14:textId="77777777" w:rsidR="005364DE" w:rsidRDefault="005364DE" w:rsidP="005364DE">
                  <w:pPr>
                    <w:pStyle w:val="NoSpacing"/>
                    <w:rPr>
                      <w:rFonts w:eastAsia="Arial"/>
                      <w:sz w:val="20"/>
                      <w:szCs w:val="20"/>
                    </w:rPr>
                  </w:pPr>
                </w:p>
                <w:p w14:paraId="0238C4CF" w14:textId="63FB9CA7" w:rsidR="00CB05E4" w:rsidRPr="005364DE" w:rsidRDefault="00D10E62" w:rsidP="005364DE">
                  <w:pPr>
                    <w:pStyle w:val="NoSpacing"/>
                    <w:rPr>
                      <w:rFonts w:eastAsia="Arial"/>
                      <w:sz w:val="20"/>
                      <w:szCs w:val="20"/>
                    </w:rPr>
                  </w:pPr>
                  <w:r w:rsidRPr="005364DE">
                    <w:rPr>
                      <w:rFonts w:eastAsia="Arial"/>
                      <w:sz w:val="20"/>
                      <w:szCs w:val="20"/>
                    </w:rPr>
                    <w:t>Myasthenia Gravis</w:t>
                  </w:r>
                  <w:r w:rsidR="00D902C2" w:rsidRPr="005364DE">
                    <w:rPr>
                      <w:rFonts w:eastAsia="Arial"/>
                      <w:sz w:val="20"/>
                      <w:szCs w:val="20"/>
                    </w:rPr>
                    <w:t xml:space="preserve"> Found</w:t>
                  </w:r>
                  <w:r w:rsidR="00C36748">
                    <w:rPr>
                      <w:rFonts w:eastAsia="Arial"/>
                      <w:sz w:val="20"/>
                      <w:szCs w:val="20"/>
                    </w:rPr>
                    <w:t>ation</w:t>
                  </w:r>
                  <w:r w:rsidR="00D902C2" w:rsidRPr="005364DE">
                    <w:rPr>
                      <w:rFonts w:eastAsia="Arial"/>
                      <w:sz w:val="20"/>
                      <w:szCs w:val="20"/>
                    </w:rPr>
                    <w:t xml:space="preserve"> of America (</w:t>
                  </w:r>
                  <w:r w:rsidR="00CB05E4" w:rsidRPr="005364DE">
                    <w:rPr>
                      <w:rFonts w:eastAsia="Arial"/>
                      <w:sz w:val="20"/>
                      <w:szCs w:val="20"/>
                    </w:rPr>
                    <w:t>MGFA</w:t>
                  </w:r>
                  <w:r w:rsidR="00D902C2" w:rsidRPr="005364DE">
                    <w:rPr>
                      <w:rFonts w:eastAsia="Arial"/>
                      <w:sz w:val="20"/>
                      <w:szCs w:val="20"/>
                    </w:rPr>
                    <w:t>)</w:t>
                  </w:r>
                  <w:r w:rsidR="00CB05E4" w:rsidRPr="005364DE">
                    <w:rPr>
                      <w:rFonts w:eastAsia="Arial"/>
                      <w:sz w:val="20"/>
                      <w:szCs w:val="20"/>
                    </w:rPr>
                    <w:t xml:space="preserve"> Clinical Classification Class II to </w:t>
                  </w:r>
                  <w:proofErr w:type="spellStart"/>
                  <w:r w:rsidR="00CB05E4" w:rsidRPr="005364DE">
                    <w:rPr>
                      <w:rFonts w:eastAsia="Arial"/>
                      <w:sz w:val="20"/>
                      <w:szCs w:val="20"/>
                    </w:rPr>
                    <w:t>IVa</w:t>
                  </w:r>
                  <w:proofErr w:type="spellEnd"/>
                  <w:r w:rsidR="00CB05E4" w:rsidRPr="005364DE">
                    <w:rPr>
                      <w:rFonts w:eastAsia="Arial"/>
                      <w:sz w:val="20"/>
                      <w:szCs w:val="20"/>
                    </w:rPr>
                    <w:t xml:space="preserve"> </w:t>
                  </w:r>
                </w:p>
                <w:p w14:paraId="5F12148C" w14:textId="77777777" w:rsidR="005364DE" w:rsidRDefault="005364DE" w:rsidP="005364DE">
                  <w:pPr>
                    <w:pStyle w:val="NoSpacing"/>
                    <w:rPr>
                      <w:rFonts w:eastAsia="Arial"/>
                      <w:sz w:val="20"/>
                      <w:szCs w:val="20"/>
                    </w:rPr>
                  </w:pPr>
                </w:p>
                <w:p w14:paraId="56E2EE79" w14:textId="3E4102B8" w:rsidR="00CB05E4" w:rsidRPr="00C9012B" w:rsidRDefault="00CB05E4" w:rsidP="005364DE">
                  <w:pPr>
                    <w:pStyle w:val="NoSpacing"/>
                    <w:rPr>
                      <w:rFonts w:eastAsia="Arial"/>
                      <w:sz w:val="20"/>
                      <w:szCs w:val="20"/>
                    </w:rPr>
                  </w:pPr>
                  <w:r w:rsidRPr="00C9012B">
                    <w:rPr>
                      <w:rFonts w:eastAsia="Arial"/>
                      <w:sz w:val="20"/>
                      <w:szCs w:val="20"/>
                    </w:rPr>
                    <w:t xml:space="preserve">MG-ADL total score ≥3 (with ≥3 points from non-ocular symptoms) </w:t>
                  </w:r>
                </w:p>
                <w:p w14:paraId="6AA505BC" w14:textId="77777777" w:rsidR="005364DE" w:rsidRDefault="005364DE" w:rsidP="005364DE">
                  <w:pPr>
                    <w:pStyle w:val="NoSpacing"/>
                    <w:rPr>
                      <w:rFonts w:eastAsia="Arial"/>
                      <w:sz w:val="20"/>
                      <w:szCs w:val="20"/>
                    </w:rPr>
                  </w:pPr>
                </w:p>
                <w:p w14:paraId="5AE3776B" w14:textId="53AB388B" w:rsidR="00CB05E4" w:rsidRPr="00C9012B" w:rsidRDefault="00CB05E4" w:rsidP="005364DE">
                  <w:pPr>
                    <w:pStyle w:val="NoSpacing"/>
                    <w:rPr>
                      <w:rFonts w:eastAsia="Arial"/>
                      <w:sz w:val="20"/>
                      <w:szCs w:val="20"/>
                    </w:rPr>
                  </w:pPr>
                  <w:r w:rsidRPr="00C9012B">
                    <w:rPr>
                      <w:rFonts w:eastAsia="Arial"/>
                      <w:sz w:val="20"/>
                      <w:szCs w:val="20"/>
                    </w:rPr>
                    <w:lastRenderedPageBreak/>
                    <w:t xml:space="preserve">On stable dose of MG therapy prior to screening that included </w:t>
                  </w:r>
                  <w:proofErr w:type="spellStart"/>
                  <w:r w:rsidRPr="00C9012B">
                    <w:rPr>
                      <w:rFonts w:eastAsia="Arial"/>
                      <w:sz w:val="20"/>
                      <w:szCs w:val="20"/>
                    </w:rPr>
                    <w:t>AChE</w:t>
                  </w:r>
                  <w:proofErr w:type="spellEnd"/>
                  <w:r w:rsidRPr="00C9012B">
                    <w:rPr>
                      <w:rFonts w:eastAsia="Arial"/>
                      <w:sz w:val="20"/>
                      <w:szCs w:val="20"/>
                    </w:rPr>
                    <w:t xml:space="preserve"> inhibitors, steroids, or NSISTs, either in combination or alone </w:t>
                  </w:r>
                </w:p>
                <w:p w14:paraId="5D0AB545" w14:textId="77777777" w:rsidR="005364DE" w:rsidRDefault="005364DE" w:rsidP="005364DE">
                  <w:pPr>
                    <w:pStyle w:val="NoSpacing"/>
                    <w:rPr>
                      <w:rFonts w:eastAsia="Arial"/>
                      <w:sz w:val="20"/>
                      <w:szCs w:val="20"/>
                    </w:rPr>
                  </w:pPr>
                </w:p>
                <w:p w14:paraId="46A32475" w14:textId="57D9E3F3" w:rsidR="00B86494" w:rsidRDefault="00CB05E4" w:rsidP="005364DE">
                  <w:pPr>
                    <w:pStyle w:val="NoSpacing"/>
                    <w:rPr>
                      <w:rFonts w:eastAsia="Arial"/>
                      <w:sz w:val="20"/>
                      <w:szCs w:val="20"/>
                    </w:rPr>
                  </w:pPr>
                  <w:r w:rsidRPr="00C9012B">
                    <w:rPr>
                      <w:rFonts w:eastAsia="Arial"/>
                      <w:sz w:val="20"/>
                      <w:szCs w:val="20"/>
                    </w:rPr>
                    <w:t xml:space="preserve">Serum IgG levels of ≥5.5 g/L </w:t>
                  </w:r>
                </w:p>
              </w:tc>
            </w:tr>
            <w:tr w:rsidR="00B86494" w14:paraId="204A7352" w14:textId="77777777" w:rsidTr="00091E4F">
              <w:tc>
                <w:tcPr>
                  <w:tcW w:w="1916" w:type="dxa"/>
                </w:tcPr>
                <w:p w14:paraId="3CB0F040" w14:textId="767EA941" w:rsidR="00B86494" w:rsidRPr="00DE671A" w:rsidRDefault="00DE671A" w:rsidP="00DE671A">
                  <w:pPr>
                    <w:pStyle w:val="NoSpacing"/>
                    <w:jc w:val="center"/>
                    <w:rPr>
                      <w:rFonts w:eastAsia="Arial"/>
                      <w:b/>
                      <w:bCs/>
                      <w:sz w:val="20"/>
                      <w:szCs w:val="20"/>
                    </w:rPr>
                  </w:pPr>
                  <w:r>
                    <w:rPr>
                      <w:rFonts w:eastAsia="Arial"/>
                      <w:b/>
                      <w:bCs/>
                      <w:sz w:val="20"/>
                      <w:szCs w:val="20"/>
                    </w:rPr>
                    <w:lastRenderedPageBreak/>
                    <w:t>Interventions</w:t>
                  </w:r>
                </w:p>
              </w:tc>
              <w:tc>
                <w:tcPr>
                  <w:tcW w:w="5122" w:type="dxa"/>
                </w:tcPr>
                <w:p w14:paraId="2B92BC6E" w14:textId="08FC1893" w:rsidR="002B326C" w:rsidRPr="002B326C" w:rsidRDefault="002B326C" w:rsidP="002B326C">
                  <w:pPr>
                    <w:pStyle w:val="NoSpacing"/>
                    <w:rPr>
                      <w:rFonts w:eastAsia="Arial"/>
                      <w:sz w:val="20"/>
                      <w:szCs w:val="20"/>
                    </w:rPr>
                  </w:pPr>
                  <w:r w:rsidRPr="002B326C">
                    <w:rPr>
                      <w:rFonts w:eastAsia="Arial"/>
                      <w:sz w:val="20"/>
                      <w:szCs w:val="20"/>
                    </w:rPr>
                    <w:t xml:space="preserve">Patients were randomized 1:1:1 to receive one of the following via </w:t>
                  </w:r>
                  <w:r>
                    <w:rPr>
                      <w:rFonts w:eastAsia="Arial"/>
                      <w:sz w:val="20"/>
                      <w:szCs w:val="20"/>
                    </w:rPr>
                    <w:t>subcutaneous</w:t>
                  </w:r>
                  <w:r w:rsidRPr="002B326C">
                    <w:rPr>
                      <w:rFonts w:eastAsia="Arial"/>
                      <w:sz w:val="20"/>
                      <w:szCs w:val="20"/>
                    </w:rPr>
                    <w:t xml:space="preserve"> infusion once per week for 6 weeks, followed by an observation period of up to 8 weeks:</w:t>
                  </w:r>
                </w:p>
                <w:p w14:paraId="41F7400B" w14:textId="77777777" w:rsidR="00AC19FE" w:rsidRDefault="00AC19FE" w:rsidP="005364DE">
                  <w:pPr>
                    <w:pStyle w:val="NoSpacing"/>
                    <w:ind w:left="360"/>
                    <w:rPr>
                      <w:rFonts w:eastAsia="Arial"/>
                      <w:sz w:val="20"/>
                      <w:szCs w:val="20"/>
                    </w:rPr>
                  </w:pPr>
                </w:p>
                <w:p w14:paraId="45C9C330" w14:textId="5C0EE1BF" w:rsidR="00863356" w:rsidRDefault="002B326C" w:rsidP="005364DE">
                  <w:pPr>
                    <w:pStyle w:val="NoSpacing"/>
                    <w:ind w:left="360"/>
                    <w:rPr>
                      <w:rFonts w:eastAsia="Arial"/>
                      <w:sz w:val="20"/>
                      <w:szCs w:val="20"/>
                    </w:rPr>
                  </w:pPr>
                  <w:r w:rsidRPr="002B326C">
                    <w:rPr>
                      <w:rFonts w:eastAsia="Arial"/>
                      <w:sz w:val="20"/>
                      <w:szCs w:val="20"/>
                    </w:rPr>
                    <w:t xml:space="preserve">Weight-tiered doses of </w:t>
                  </w:r>
                  <w:proofErr w:type="spellStart"/>
                  <w:r w:rsidRPr="002B326C">
                    <w:rPr>
                      <w:rFonts w:eastAsia="Arial"/>
                      <w:sz w:val="20"/>
                      <w:szCs w:val="20"/>
                    </w:rPr>
                    <w:t>Rystiggo</w:t>
                  </w:r>
                  <w:proofErr w:type="spellEnd"/>
                  <w:r w:rsidRPr="002B326C">
                    <w:rPr>
                      <w:rFonts w:eastAsia="Arial"/>
                      <w:sz w:val="20"/>
                      <w:szCs w:val="20"/>
                    </w:rPr>
                    <w:t xml:space="preserve"> (n = 133)</w:t>
                  </w:r>
                </w:p>
                <w:p w14:paraId="0C74478D" w14:textId="77777777" w:rsidR="00863356" w:rsidRDefault="002B326C" w:rsidP="00AC19FE">
                  <w:pPr>
                    <w:pStyle w:val="NoSpacing"/>
                    <w:ind w:left="720"/>
                    <w:rPr>
                      <w:rFonts w:eastAsia="Arial"/>
                      <w:sz w:val="20"/>
                      <w:szCs w:val="20"/>
                    </w:rPr>
                  </w:pPr>
                  <w:r w:rsidRPr="00863356">
                    <w:rPr>
                      <w:rFonts w:eastAsia="Arial"/>
                      <w:sz w:val="20"/>
                      <w:szCs w:val="20"/>
                    </w:rPr>
                    <w:t>≈7 mg/kg (n = 66)</w:t>
                  </w:r>
                </w:p>
                <w:p w14:paraId="58474E9D" w14:textId="77777777" w:rsidR="00463796" w:rsidRDefault="002B326C" w:rsidP="00AC19FE">
                  <w:pPr>
                    <w:pStyle w:val="NoSpacing"/>
                    <w:ind w:left="720"/>
                    <w:rPr>
                      <w:rFonts w:eastAsia="Arial"/>
                      <w:sz w:val="20"/>
                      <w:szCs w:val="20"/>
                    </w:rPr>
                  </w:pPr>
                  <w:r w:rsidRPr="00863356">
                    <w:rPr>
                      <w:rFonts w:eastAsia="Arial"/>
                      <w:sz w:val="20"/>
                      <w:szCs w:val="20"/>
                    </w:rPr>
                    <w:t xml:space="preserve">≈10 mg/kg (n = 67) </w:t>
                  </w:r>
                </w:p>
                <w:p w14:paraId="611A9D81" w14:textId="15D65FAE" w:rsidR="00863356" w:rsidRDefault="00314585" w:rsidP="00463796">
                  <w:pPr>
                    <w:pStyle w:val="NoSpacing"/>
                    <w:ind w:left="1080"/>
                    <w:rPr>
                      <w:rFonts w:eastAsia="Arial"/>
                      <w:sz w:val="20"/>
                      <w:szCs w:val="20"/>
                    </w:rPr>
                  </w:pPr>
                  <w:r>
                    <w:rPr>
                      <w:rFonts w:eastAsia="Arial"/>
                      <w:sz w:val="20"/>
                      <w:szCs w:val="20"/>
                    </w:rPr>
                    <w:t>o</w:t>
                  </w:r>
                  <w:r w:rsidR="002B326C" w:rsidRPr="00863356">
                    <w:rPr>
                      <w:rFonts w:eastAsia="Arial"/>
                      <w:sz w:val="20"/>
                      <w:szCs w:val="20"/>
                    </w:rPr>
                    <w:t>r</w:t>
                  </w:r>
                </w:p>
                <w:p w14:paraId="6AFDA907" w14:textId="13F2B51C" w:rsidR="00B86494" w:rsidRPr="00863356" w:rsidRDefault="002B326C" w:rsidP="00463796">
                  <w:pPr>
                    <w:pStyle w:val="NoSpacing"/>
                    <w:ind w:left="360"/>
                    <w:rPr>
                      <w:rFonts w:eastAsia="Arial"/>
                      <w:sz w:val="20"/>
                      <w:szCs w:val="20"/>
                    </w:rPr>
                  </w:pPr>
                  <w:r w:rsidRPr="00863356">
                    <w:rPr>
                      <w:rFonts w:eastAsia="Arial"/>
                      <w:sz w:val="20"/>
                      <w:szCs w:val="20"/>
                    </w:rPr>
                    <w:t>Placebo (n = 67)</w:t>
                  </w:r>
                </w:p>
              </w:tc>
            </w:tr>
            <w:tr w:rsidR="00B86494" w14:paraId="1A2E4097" w14:textId="77777777" w:rsidTr="00091E4F">
              <w:tc>
                <w:tcPr>
                  <w:tcW w:w="1916" w:type="dxa"/>
                </w:tcPr>
                <w:p w14:paraId="6336DB57" w14:textId="61EE5587" w:rsidR="00B86494" w:rsidRPr="009F7CE1" w:rsidRDefault="003F2D04" w:rsidP="009F7CE1">
                  <w:pPr>
                    <w:pStyle w:val="NoSpacing"/>
                    <w:jc w:val="center"/>
                    <w:rPr>
                      <w:rFonts w:eastAsia="Arial"/>
                      <w:b/>
                      <w:bCs/>
                      <w:sz w:val="20"/>
                      <w:szCs w:val="20"/>
                    </w:rPr>
                  </w:pPr>
                  <w:r w:rsidRPr="009F7CE1">
                    <w:rPr>
                      <w:rFonts w:eastAsia="Arial"/>
                      <w:b/>
                      <w:bCs/>
                      <w:sz w:val="20"/>
                      <w:szCs w:val="20"/>
                    </w:rPr>
                    <w:t>Endpoints</w:t>
                  </w:r>
                </w:p>
              </w:tc>
              <w:tc>
                <w:tcPr>
                  <w:tcW w:w="5122" w:type="dxa"/>
                </w:tcPr>
                <w:p w14:paraId="1DFCA2DF" w14:textId="5B89D83A" w:rsidR="00D03B3F" w:rsidRPr="00D03B3F" w:rsidRDefault="00D03B3F" w:rsidP="00030013">
                  <w:pPr>
                    <w:pStyle w:val="NoSpacing"/>
                    <w:rPr>
                      <w:rFonts w:eastAsia="Arial"/>
                      <w:sz w:val="20"/>
                      <w:szCs w:val="20"/>
                    </w:rPr>
                  </w:pPr>
                  <w:r w:rsidRPr="00D03B3F">
                    <w:rPr>
                      <w:rFonts w:eastAsia="Arial"/>
                      <w:sz w:val="20"/>
                      <w:szCs w:val="20"/>
                    </w:rPr>
                    <w:t>Primary: Comparison of change from baseline between treatment groups in MG-ADL total score at Day 43</w:t>
                  </w:r>
                  <w:r>
                    <w:rPr>
                      <w:rFonts w:eastAsia="Arial"/>
                      <w:sz w:val="20"/>
                      <w:szCs w:val="20"/>
                      <w:vertAlign w:val="superscript"/>
                    </w:rPr>
                    <w:t>a</w:t>
                  </w:r>
                </w:p>
                <w:p w14:paraId="4164B1C1" w14:textId="77777777" w:rsidR="00030013" w:rsidRDefault="00030013" w:rsidP="00030013">
                  <w:pPr>
                    <w:pStyle w:val="NoSpacing"/>
                    <w:rPr>
                      <w:rFonts w:eastAsia="Arial"/>
                      <w:sz w:val="20"/>
                      <w:szCs w:val="20"/>
                    </w:rPr>
                  </w:pPr>
                </w:p>
                <w:p w14:paraId="4A898E8B" w14:textId="1E8DCFAC" w:rsidR="00B86494" w:rsidRDefault="00D03B3F" w:rsidP="00030013">
                  <w:pPr>
                    <w:pStyle w:val="NoSpacing"/>
                    <w:rPr>
                      <w:rFonts w:eastAsia="Arial"/>
                      <w:sz w:val="20"/>
                      <w:szCs w:val="20"/>
                    </w:rPr>
                  </w:pPr>
                  <w:r w:rsidRPr="00D03B3F">
                    <w:rPr>
                      <w:rFonts w:eastAsia="Arial"/>
                      <w:sz w:val="20"/>
                      <w:szCs w:val="20"/>
                    </w:rPr>
                    <w:t xml:space="preserve">Secondary: Change between treatment groups from baseline to Day 43 in the QMG total </w:t>
                  </w:r>
                  <w:proofErr w:type="spellStart"/>
                  <w:r w:rsidRPr="00D03B3F">
                    <w:rPr>
                      <w:rFonts w:eastAsia="Arial"/>
                      <w:sz w:val="20"/>
                      <w:szCs w:val="20"/>
                    </w:rPr>
                    <w:t>score</w:t>
                  </w:r>
                  <w:r w:rsidR="004438A7">
                    <w:rPr>
                      <w:rFonts w:eastAsia="Arial"/>
                      <w:sz w:val="20"/>
                      <w:szCs w:val="20"/>
                      <w:vertAlign w:val="superscript"/>
                    </w:rPr>
                    <w:t>b</w:t>
                  </w:r>
                  <w:proofErr w:type="spellEnd"/>
                </w:p>
              </w:tc>
            </w:tr>
          </w:tbl>
          <w:p w14:paraId="0D0309D0" w14:textId="3B5ABC49" w:rsidR="000602EE" w:rsidRPr="00C074BB" w:rsidRDefault="00AF514E" w:rsidP="000602EE">
            <w:pPr>
              <w:pStyle w:val="NoSpacing"/>
              <w:ind w:left="360"/>
              <w:rPr>
                <w:sz w:val="16"/>
                <w:szCs w:val="16"/>
              </w:rPr>
            </w:pPr>
            <w:proofErr w:type="gramStart"/>
            <w:r w:rsidRPr="00C074BB">
              <w:rPr>
                <w:sz w:val="16"/>
                <w:szCs w:val="16"/>
                <w:vertAlign w:val="superscript"/>
              </w:rPr>
              <w:t xml:space="preserve">a </w:t>
            </w:r>
            <w:r w:rsidR="000602EE" w:rsidRPr="00C074BB">
              <w:rPr>
                <w:sz w:val="16"/>
                <w:szCs w:val="16"/>
              </w:rPr>
              <w:t>MG</w:t>
            </w:r>
            <w:proofErr w:type="gramEnd"/>
            <w:r w:rsidR="000602EE" w:rsidRPr="00C074BB">
              <w:rPr>
                <w:sz w:val="16"/>
                <w:szCs w:val="16"/>
              </w:rPr>
              <w:t xml:space="preserve">-ADL scale assesses the impact of </w:t>
            </w:r>
            <w:proofErr w:type="spellStart"/>
            <w:r w:rsidR="000602EE" w:rsidRPr="00C074BB">
              <w:rPr>
                <w:sz w:val="16"/>
                <w:szCs w:val="16"/>
              </w:rPr>
              <w:t>gMG</w:t>
            </w:r>
            <w:proofErr w:type="spellEnd"/>
            <w:r w:rsidR="000602EE" w:rsidRPr="00C074BB">
              <w:rPr>
                <w:sz w:val="16"/>
                <w:szCs w:val="16"/>
              </w:rPr>
              <w:t xml:space="preserve"> on daily functions of 8 signs or symptoms typically affected in </w:t>
            </w:r>
            <w:proofErr w:type="spellStart"/>
            <w:r w:rsidR="000602EE" w:rsidRPr="00C074BB">
              <w:rPr>
                <w:sz w:val="16"/>
                <w:szCs w:val="16"/>
              </w:rPr>
              <w:t>gMG</w:t>
            </w:r>
            <w:proofErr w:type="spellEnd"/>
            <w:r w:rsidR="000602EE" w:rsidRPr="00C074BB">
              <w:rPr>
                <w:sz w:val="16"/>
                <w:szCs w:val="16"/>
              </w:rPr>
              <w:t xml:space="preserve">. Each item is assessed on a 4-point scale; </w:t>
            </w:r>
            <w:r w:rsidR="00C207E7" w:rsidRPr="00C074BB">
              <w:rPr>
                <w:sz w:val="16"/>
                <w:szCs w:val="16"/>
              </w:rPr>
              <w:t xml:space="preserve">a </w:t>
            </w:r>
            <w:r w:rsidR="000602EE" w:rsidRPr="00C074BB">
              <w:rPr>
                <w:sz w:val="16"/>
                <w:szCs w:val="16"/>
              </w:rPr>
              <w:t xml:space="preserve">score of 0 represents normal function and a score of 3 represents loss of ability to perform that function. A total score ranges from 0 to 24, with the higher scores indicating more impairment. </w:t>
            </w:r>
          </w:p>
          <w:p w14:paraId="55E11476" w14:textId="489C21CB" w:rsidR="0077337F" w:rsidRPr="00C074BB" w:rsidRDefault="000602EE" w:rsidP="000602EE">
            <w:pPr>
              <w:pStyle w:val="NoSpacing"/>
              <w:ind w:left="360"/>
              <w:rPr>
                <w:sz w:val="16"/>
                <w:szCs w:val="16"/>
              </w:rPr>
            </w:pPr>
            <w:r w:rsidRPr="00C074BB">
              <w:rPr>
                <w:sz w:val="16"/>
                <w:szCs w:val="16"/>
                <w:vertAlign w:val="superscript"/>
              </w:rPr>
              <w:t xml:space="preserve">b </w:t>
            </w:r>
            <w:r w:rsidRPr="00C074BB">
              <w:rPr>
                <w:sz w:val="16"/>
                <w:szCs w:val="16"/>
              </w:rPr>
              <w:t>The QMG is a 13-item categorical grading system that assesses muscle weakness. Each item is assessed on a 4-point scale where a score of 0 represents no weakness and a score of 3 represents severe weakness. A total possible score ranges from 0 to 39, where higher scores indicate more severe impairment.</w:t>
            </w:r>
          </w:p>
          <w:p w14:paraId="0F07D1BD" w14:textId="392562A9" w:rsidR="004027D1" w:rsidRPr="00B53BEA" w:rsidRDefault="004027D1" w:rsidP="00B53BEA">
            <w:pPr>
              <w:pStyle w:val="NoSpacing"/>
              <w:rPr>
                <w:sz w:val="20"/>
                <w:szCs w:val="20"/>
              </w:rPr>
            </w:pPr>
          </w:p>
          <w:tbl>
            <w:tblPr>
              <w:tblStyle w:val="TableGrid"/>
              <w:tblW w:w="7017" w:type="dxa"/>
              <w:tblInd w:w="400" w:type="dxa"/>
              <w:tblLayout w:type="fixed"/>
              <w:tblLook w:val="04A0" w:firstRow="1" w:lastRow="0" w:firstColumn="1" w:lastColumn="0" w:noHBand="0" w:noVBand="1"/>
            </w:tblPr>
            <w:tblGrid>
              <w:gridCol w:w="1753"/>
              <w:gridCol w:w="1754"/>
              <w:gridCol w:w="1753"/>
              <w:gridCol w:w="1757"/>
            </w:tblGrid>
            <w:tr w:rsidR="003A327B" w:rsidRPr="0049401D" w14:paraId="7A630752" w14:textId="77777777" w:rsidTr="00AA23F5">
              <w:trPr>
                <w:trHeight w:val="377"/>
              </w:trPr>
              <w:tc>
                <w:tcPr>
                  <w:tcW w:w="1753" w:type="dxa"/>
                  <w:shd w:val="clear" w:color="auto" w:fill="FABF8F" w:themeFill="accent6" w:themeFillTint="99"/>
                </w:tcPr>
                <w:p w14:paraId="06772666" w14:textId="77777777" w:rsidR="003A327B" w:rsidRPr="0049401D" w:rsidRDefault="003A327B" w:rsidP="00B31949">
                  <w:pPr>
                    <w:pStyle w:val="ListParagraph"/>
                    <w:spacing w:after="0" w:line="240" w:lineRule="auto"/>
                    <w:ind w:left="0"/>
                    <w:jc w:val="center"/>
                    <w:rPr>
                      <w:rFonts w:ascii="Arial" w:eastAsia="Arial" w:hAnsi="Arial" w:cs="Arial"/>
                      <w:b/>
                      <w:bCs/>
                      <w:sz w:val="20"/>
                      <w:szCs w:val="20"/>
                    </w:rPr>
                  </w:pPr>
                  <w:bookmarkStart w:id="0" w:name="_Hlk143167374"/>
                </w:p>
                <w:p w14:paraId="2408BEB2" w14:textId="2F04C3AA" w:rsidR="003A327B" w:rsidRPr="0049401D" w:rsidRDefault="006010DB" w:rsidP="00B31949">
                  <w:pPr>
                    <w:pStyle w:val="ListParagraph"/>
                    <w:spacing w:after="0" w:line="240" w:lineRule="auto"/>
                    <w:ind w:left="0"/>
                    <w:jc w:val="center"/>
                    <w:rPr>
                      <w:rFonts w:ascii="Arial" w:eastAsia="Arial" w:hAnsi="Arial" w:cs="Arial"/>
                      <w:b/>
                      <w:bCs/>
                      <w:sz w:val="20"/>
                      <w:szCs w:val="20"/>
                    </w:rPr>
                  </w:pPr>
                  <w:r>
                    <w:rPr>
                      <w:rFonts w:ascii="Arial" w:eastAsia="Arial" w:hAnsi="Arial" w:cs="Arial"/>
                      <w:b/>
                      <w:bCs/>
                      <w:sz w:val="20"/>
                      <w:szCs w:val="20"/>
                    </w:rPr>
                    <w:t>Efficacy Endpoints</w:t>
                  </w:r>
                </w:p>
              </w:tc>
              <w:tc>
                <w:tcPr>
                  <w:tcW w:w="1754" w:type="dxa"/>
                  <w:shd w:val="clear" w:color="auto" w:fill="FABF8F" w:themeFill="accent6" w:themeFillTint="99"/>
                </w:tcPr>
                <w:p w14:paraId="348C1F58" w14:textId="77777777" w:rsidR="003A327B" w:rsidRDefault="003A327B" w:rsidP="007D32CF">
                  <w:pPr>
                    <w:pStyle w:val="Default"/>
                    <w:jc w:val="center"/>
                    <w:rPr>
                      <w:sz w:val="22"/>
                      <w:szCs w:val="22"/>
                    </w:rPr>
                  </w:pPr>
                  <w:proofErr w:type="spellStart"/>
                  <w:r>
                    <w:rPr>
                      <w:b/>
                      <w:bCs/>
                      <w:sz w:val="22"/>
                      <w:szCs w:val="22"/>
                    </w:rPr>
                    <w:t>Rystiggo</w:t>
                  </w:r>
                  <w:proofErr w:type="spellEnd"/>
                  <w:r>
                    <w:rPr>
                      <w:b/>
                      <w:bCs/>
                      <w:sz w:val="22"/>
                      <w:szCs w:val="22"/>
                    </w:rPr>
                    <w:t xml:space="preserve"> ≈ 7 mg/kg </w:t>
                  </w:r>
                </w:p>
                <w:p w14:paraId="7E886982" w14:textId="07E8E36A" w:rsidR="003A327B" w:rsidRPr="0049401D" w:rsidRDefault="003A327B" w:rsidP="007D32CF">
                  <w:pPr>
                    <w:pStyle w:val="ListParagraph"/>
                    <w:spacing w:after="0" w:line="240" w:lineRule="auto"/>
                    <w:ind w:left="0"/>
                    <w:jc w:val="center"/>
                    <w:rPr>
                      <w:rFonts w:ascii="Arial" w:eastAsia="Arial" w:hAnsi="Arial" w:cs="Arial"/>
                      <w:b/>
                      <w:bCs/>
                      <w:sz w:val="20"/>
                      <w:szCs w:val="20"/>
                    </w:rPr>
                  </w:pPr>
                  <w:r>
                    <w:rPr>
                      <w:b/>
                      <w:bCs/>
                    </w:rPr>
                    <w:t xml:space="preserve">n = 66 </w:t>
                  </w:r>
                </w:p>
              </w:tc>
              <w:tc>
                <w:tcPr>
                  <w:tcW w:w="1753" w:type="dxa"/>
                  <w:shd w:val="clear" w:color="auto" w:fill="FABF8F" w:themeFill="accent6" w:themeFillTint="99"/>
                </w:tcPr>
                <w:p w14:paraId="23E214E6" w14:textId="77777777" w:rsidR="003A327B" w:rsidRDefault="003A327B" w:rsidP="00C53EFB">
                  <w:pPr>
                    <w:pStyle w:val="Default"/>
                    <w:jc w:val="center"/>
                    <w:rPr>
                      <w:sz w:val="22"/>
                      <w:szCs w:val="22"/>
                    </w:rPr>
                  </w:pPr>
                  <w:proofErr w:type="spellStart"/>
                  <w:r>
                    <w:rPr>
                      <w:b/>
                      <w:bCs/>
                      <w:sz w:val="22"/>
                      <w:szCs w:val="22"/>
                    </w:rPr>
                    <w:t>Rystiggo</w:t>
                  </w:r>
                  <w:proofErr w:type="spellEnd"/>
                  <w:r>
                    <w:rPr>
                      <w:b/>
                      <w:bCs/>
                      <w:sz w:val="22"/>
                      <w:szCs w:val="22"/>
                    </w:rPr>
                    <w:t xml:space="preserve"> ≈ 10 mg/kg </w:t>
                  </w:r>
                </w:p>
                <w:p w14:paraId="52449EEE" w14:textId="7051E7A4" w:rsidR="003A327B" w:rsidRPr="0049401D" w:rsidRDefault="003A327B" w:rsidP="00C53EFB">
                  <w:pPr>
                    <w:pStyle w:val="ListParagraph"/>
                    <w:spacing w:after="0" w:line="240" w:lineRule="auto"/>
                    <w:ind w:left="0"/>
                    <w:jc w:val="center"/>
                    <w:rPr>
                      <w:rFonts w:ascii="Arial" w:eastAsia="Arial" w:hAnsi="Arial" w:cs="Arial"/>
                      <w:b/>
                      <w:bCs/>
                      <w:sz w:val="20"/>
                      <w:szCs w:val="20"/>
                    </w:rPr>
                  </w:pPr>
                  <w:r>
                    <w:rPr>
                      <w:b/>
                      <w:bCs/>
                    </w:rPr>
                    <w:t xml:space="preserve">n = 67 </w:t>
                  </w:r>
                </w:p>
              </w:tc>
              <w:tc>
                <w:tcPr>
                  <w:tcW w:w="1757" w:type="dxa"/>
                  <w:shd w:val="clear" w:color="auto" w:fill="FABF8F" w:themeFill="accent6" w:themeFillTint="99"/>
                </w:tcPr>
                <w:p w14:paraId="2C69217F" w14:textId="77777777" w:rsidR="003A327B" w:rsidRDefault="003A327B" w:rsidP="00C53EFB">
                  <w:pPr>
                    <w:pStyle w:val="Default"/>
                    <w:jc w:val="center"/>
                    <w:rPr>
                      <w:sz w:val="22"/>
                      <w:szCs w:val="22"/>
                    </w:rPr>
                  </w:pPr>
                  <w:r>
                    <w:rPr>
                      <w:b/>
                      <w:bCs/>
                      <w:sz w:val="22"/>
                      <w:szCs w:val="22"/>
                    </w:rPr>
                    <w:t xml:space="preserve">Placebo </w:t>
                  </w:r>
                </w:p>
                <w:p w14:paraId="2D91F04C" w14:textId="229C5B0E" w:rsidR="003A327B" w:rsidRPr="0049401D" w:rsidRDefault="003A327B" w:rsidP="00C53EFB">
                  <w:pPr>
                    <w:pStyle w:val="ListParagraph"/>
                    <w:spacing w:after="0" w:line="240" w:lineRule="auto"/>
                    <w:ind w:left="0"/>
                    <w:jc w:val="center"/>
                    <w:rPr>
                      <w:rFonts w:ascii="Arial" w:eastAsia="Arial" w:hAnsi="Arial" w:cs="Arial"/>
                      <w:b/>
                      <w:bCs/>
                      <w:sz w:val="20"/>
                      <w:szCs w:val="20"/>
                    </w:rPr>
                  </w:pPr>
                  <w:r>
                    <w:rPr>
                      <w:b/>
                      <w:bCs/>
                    </w:rPr>
                    <w:t xml:space="preserve">n = 67 </w:t>
                  </w:r>
                </w:p>
              </w:tc>
            </w:tr>
            <w:tr w:rsidR="003B5D62" w:rsidRPr="0049401D" w14:paraId="10B7D52C" w14:textId="77777777" w:rsidTr="00AA23F5">
              <w:trPr>
                <w:trHeight w:val="377"/>
              </w:trPr>
              <w:tc>
                <w:tcPr>
                  <w:tcW w:w="7017" w:type="dxa"/>
                  <w:gridSpan w:val="4"/>
                </w:tcPr>
                <w:p w14:paraId="704B3832" w14:textId="3F5C83DF" w:rsidR="003B5D62" w:rsidRPr="00CA5FDA" w:rsidRDefault="003B5D62" w:rsidP="003B5D62">
                  <w:pPr>
                    <w:pStyle w:val="ListParagraph"/>
                    <w:spacing w:after="0" w:line="240" w:lineRule="auto"/>
                    <w:ind w:left="0"/>
                    <w:rPr>
                      <w:rFonts w:ascii="Arial" w:eastAsia="Arial" w:hAnsi="Arial" w:cs="Arial"/>
                      <w:b/>
                      <w:bCs/>
                      <w:sz w:val="20"/>
                      <w:szCs w:val="20"/>
                    </w:rPr>
                  </w:pPr>
                  <w:r w:rsidRPr="00CA5FDA">
                    <w:rPr>
                      <w:rFonts w:ascii="Arial" w:eastAsia="Arial" w:hAnsi="Arial" w:cs="Arial"/>
                      <w:b/>
                      <w:bCs/>
                      <w:sz w:val="20"/>
                      <w:szCs w:val="20"/>
                    </w:rPr>
                    <w:t xml:space="preserve">Primary </w:t>
                  </w:r>
                  <w:r w:rsidR="008C0BCA" w:rsidRPr="00CA5FDA">
                    <w:rPr>
                      <w:rFonts w:ascii="Arial" w:eastAsia="Arial" w:hAnsi="Arial" w:cs="Arial"/>
                      <w:b/>
                      <w:bCs/>
                      <w:sz w:val="20"/>
                      <w:szCs w:val="20"/>
                    </w:rPr>
                    <w:t xml:space="preserve">Endpoint: </w:t>
                  </w:r>
                  <w:r w:rsidR="00413A08" w:rsidRPr="00CA5FDA">
                    <w:rPr>
                      <w:rFonts w:ascii="Arial" w:eastAsia="Arial" w:hAnsi="Arial" w:cs="Arial"/>
                      <w:b/>
                      <w:bCs/>
                      <w:sz w:val="20"/>
                      <w:szCs w:val="20"/>
                    </w:rPr>
                    <w:t>Chan</w:t>
                  </w:r>
                  <w:r w:rsidR="00E620F0" w:rsidRPr="00CA5FDA">
                    <w:rPr>
                      <w:rFonts w:ascii="Arial" w:eastAsia="Arial" w:hAnsi="Arial" w:cs="Arial"/>
                      <w:b/>
                      <w:bCs/>
                      <w:sz w:val="20"/>
                      <w:szCs w:val="20"/>
                    </w:rPr>
                    <w:t>g</w:t>
                  </w:r>
                  <w:r w:rsidR="00413A08" w:rsidRPr="00CA5FDA">
                    <w:rPr>
                      <w:rFonts w:ascii="Arial" w:eastAsia="Arial" w:hAnsi="Arial" w:cs="Arial"/>
                      <w:b/>
                      <w:bCs/>
                      <w:sz w:val="20"/>
                      <w:szCs w:val="20"/>
                    </w:rPr>
                    <w:t xml:space="preserve">e </w:t>
                  </w:r>
                  <w:r w:rsidR="00424375" w:rsidRPr="00CA5FDA">
                    <w:rPr>
                      <w:rFonts w:ascii="Arial" w:eastAsia="Arial" w:hAnsi="Arial" w:cs="Arial"/>
                      <w:b/>
                      <w:bCs/>
                      <w:sz w:val="20"/>
                      <w:szCs w:val="20"/>
                    </w:rPr>
                    <w:t xml:space="preserve">from Baseline </w:t>
                  </w:r>
                  <w:r w:rsidR="00E620F0" w:rsidRPr="00CA5FDA">
                    <w:rPr>
                      <w:rFonts w:ascii="Arial" w:eastAsia="Arial" w:hAnsi="Arial" w:cs="Arial"/>
                      <w:b/>
                      <w:bCs/>
                      <w:sz w:val="20"/>
                      <w:szCs w:val="20"/>
                    </w:rPr>
                    <w:t xml:space="preserve">in </w:t>
                  </w:r>
                  <w:r w:rsidR="008C0BCA" w:rsidRPr="00CA5FDA">
                    <w:rPr>
                      <w:rFonts w:ascii="Arial" w:eastAsia="Arial" w:hAnsi="Arial" w:cs="Arial"/>
                      <w:b/>
                      <w:bCs/>
                      <w:sz w:val="20"/>
                      <w:szCs w:val="20"/>
                    </w:rPr>
                    <w:t>MG-ADL Total Score</w:t>
                  </w:r>
                </w:p>
              </w:tc>
            </w:tr>
            <w:tr w:rsidR="000B4577" w:rsidRPr="0049401D" w14:paraId="00FF0268" w14:textId="77777777" w:rsidTr="00AA23F5">
              <w:trPr>
                <w:trHeight w:val="377"/>
              </w:trPr>
              <w:tc>
                <w:tcPr>
                  <w:tcW w:w="1753" w:type="dxa"/>
                </w:tcPr>
                <w:p w14:paraId="39F165FE" w14:textId="0B4C5459" w:rsidR="000B4577" w:rsidRPr="00CA5FDA" w:rsidRDefault="00A23295"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LS Mean (SE)</w:t>
                  </w:r>
                </w:p>
              </w:tc>
              <w:tc>
                <w:tcPr>
                  <w:tcW w:w="1754" w:type="dxa"/>
                </w:tcPr>
                <w:p w14:paraId="7CE29C75" w14:textId="296E7238" w:rsidR="000B4577" w:rsidRPr="00CA5FDA" w:rsidRDefault="00A23295"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-3.4 (0.5)</w:t>
                  </w:r>
                </w:p>
              </w:tc>
              <w:tc>
                <w:tcPr>
                  <w:tcW w:w="1753" w:type="dxa"/>
                </w:tcPr>
                <w:p w14:paraId="1C9936E2" w14:textId="1BF8DC43" w:rsidR="000B4577" w:rsidRPr="00CA5FDA" w:rsidRDefault="0089734B"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-3.4 (0.5)</w:t>
                  </w:r>
                </w:p>
              </w:tc>
              <w:tc>
                <w:tcPr>
                  <w:tcW w:w="1757" w:type="dxa"/>
                </w:tcPr>
                <w:p w14:paraId="3CDB31AD" w14:textId="094BE7B5" w:rsidR="000B4577" w:rsidRPr="00CA5FDA" w:rsidRDefault="0089734B"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-0.8 (0.5)</w:t>
                  </w:r>
                </w:p>
              </w:tc>
            </w:tr>
            <w:tr w:rsidR="000F5365" w:rsidRPr="0049401D" w14:paraId="2ACA65DB" w14:textId="77777777" w:rsidTr="00AA23F5">
              <w:trPr>
                <w:trHeight w:val="377"/>
              </w:trPr>
              <w:tc>
                <w:tcPr>
                  <w:tcW w:w="1753" w:type="dxa"/>
                </w:tcPr>
                <w:p w14:paraId="0A09091A" w14:textId="64AEBA79" w:rsidR="000F5365" w:rsidRPr="00CA5FDA" w:rsidRDefault="000F5365" w:rsidP="00CA5FDA">
                  <w:pPr>
                    <w:pStyle w:val="ListParagraph"/>
                    <w:spacing w:after="0" w:line="240" w:lineRule="auto"/>
                    <w:ind w:left="0"/>
                    <w:jc w:val="center"/>
                    <w:rPr>
                      <w:rFonts w:ascii="Arial" w:eastAsia="Arial" w:hAnsi="Arial" w:cs="Arial"/>
                      <w:sz w:val="20"/>
                      <w:szCs w:val="20"/>
                    </w:rPr>
                  </w:pPr>
                  <w:r w:rsidRPr="00CA5FDA">
                    <w:rPr>
                      <w:rFonts w:ascii="Arial" w:hAnsi="Arial" w:cs="Arial"/>
                      <w:sz w:val="20"/>
                      <w:szCs w:val="20"/>
                    </w:rPr>
                    <w:t>Difference from placebo (95% CI)</w:t>
                  </w:r>
                </w:p>
              </w:tc>
              <w:tc>
                <w:tcPr>
                  <w:tcW w:w="1754" w:type="dxa"/>
                </w:tcPr>
                <w:p w14:paraId="17AED9BA" w14:textId="1E349883" w:rsidR="000F5365" w:rsidRPr="00CA5FDA" w:rsidRDefault="000F5365" w:rsidP="00CA5FDA">
                  <w:pPr>
                    <w:pStyle w:val="ListParagraph"/>
                    <w:spacing w:after="0" w:line="240" w:lineRule="auto"/>
                    <w:ind w:left="0"/>
                    <w:jc w:val="center"/>
                    <w:rPr>
                      <w:rFonts w:ascii="Arial" w:eastAsia="Arial" w:hAnsi="Arial" w:cs="Arial"/>
                      <w:sz w:val="20"/>
                      <w:szCs w:val="20"/>
                    </w:rPr>
                  </w:pPr>
                  <w:r w:rsidRPr="00CA5FDA">
                    <w:rPr>
                      <w:rFonts w:ascii="Arial" w:hAnsi="Arial" w:cs="Arial"/>
                      <w:sz w:val="20"/>
                      <w:szCs w:val="20"/>
                    </w:rPr>
                    <w:t>−2.6 (−4.1, −1.2)</w:t>
                  </w:r>
                </w:p>
              </w:tc>
              <w:tc>
                <w:tcPr>
                  <w:tcW w:w="1753" w:type="dxa"/>
                </w:tcPr>
                <w:p w14:paraId="29E37FA6" w14:textId="62CBAA49" w:rsidR="000F5365" w:rsidRPr="00CA5FDA" w:rsidRDefault="000F5365" w:rsidP="00CA5FDA">
                  <w:pPr>
                    <w:pStyle w:val="ListParagraph"/>
                    <w:spacing w:after="0" w:line="240" w:lineRule="auto"/>
                    <w:ind w:left="0"/>
                    <w:jc w:val="center"/>
                    <w:rPr>
                      <w:rFonts w:ascii="Arial" w:eastAsia="Arial" w:hAnsi="Arial" w:cs="Arial"/>
                      <w:sz w:val="20"/>
                      <w:szCs w:val="20"/>
                    </w:rPr>
                  </w:pPr>
                  <w:r w:rsidRPr="00CA5FDA">
                    <w:rPr>
                      <w:rFonts w:ascii="Arial" w:hAnsi="Arial" w:cs="Arial"/>
                      <w:sz w:val="20"/>
                      <w:szCs w:val="20"/>
                    </w:rPr>
                    <w:t>−2.6 (−4.0, −1.2)</w:t>
                  </w:r>
                </w:p>
              </w:tc>
              <w:tc>
                <w:tcPr>
                  <w:tcW w:w="1757" w:type="dxa"/>
                </w:tcPr>
                <w:p w14:paraId="17A4DD4C" w14:textId="3A50A469" w:rsidR="000F5365" w:rsidRPr="00CA5FDA" w:rsidRDefault="000F5365" w:rsidP="00CA5FDA">
                  <w:pPr>
                    <w:pStyle w:val="ListParagraph"/>
                    <w:spacing w:after="0" w:line="240" w:lineRule="auto"/>
                    <w:ind w:left="0"/>
                    <w:jc w:val="center"/>
                    <w:rPr>
                      <w:rFonts w:ascii="Arial" w:eastAsia="Arial" w:hAnsi="Arial" w:cs="Arial"/>
                      <w:sz w:val="20"/>
                      <w:szCs w:val="20"/>
                    </w:rPr>
                  </w:pPr>
                  <w:r w:rsidRPr="00CA5FDA">
                    <w:rPr>
                      <w:rFonts w:ascii="Arial" w:hAnsi="Arial" w:cs="Arial"/>
                      <w:sz w:val="20"/>
                      <w:szCs w:val="20"/>
                    </w:rPr>
                    <w:t>–</w:t>
                  </w:r>
                </w:p>
              </w:tc>
            </w:tr>
            <w:tr w:rsidR="00E81333" w14:paraId="67267492" w14:textId="77777777" w:rsidTr="00AA23F5">
              <w:trPr>
                <w:trHeight w:val="377"/>
              </w:trPr>
              <w:tc>
                <w:tcPr>
                  <w:tcW w:w="1753" w:type="dxa"/>
                </w:tcPr>
                <w:p w14:paraId="7898F33B" w14:textId="42C02D95" w:rsidR="00E81333" w:rsidRPr="00CA5FDA" w:rsidRDefault="00E81333" w:rsidP="00CA5FDA">
                  <w:pPr>
                    <w:pStyle w:val="Default"/>
                    <w:jc w:val="center"/>
                    <w:rPr>
                      <w:rFonts w:ascii="Arial" w:hAnsi="Arial" w:cs="Arial"/>
                      <w:sz w:val="20"/>
                      <w:szCs w:val="20"/>
                    </w:rPr>
                  </w:pPr>
                  <w:r w:rsidRPr="00CA5FDA">
                    <w:rPr>
                      <w:rFonts w:ascii="Arial" w:hAnsi="Arial" w:cs="Arial"/>
                      <w:i/>
                      <w:iCs/>
                      <w:sz w:val="20"/>
                      <w:szCs w:val="20"/>
                    </w:rPr>
                    <w:t>P-</w:t>
                  </w:r>
                  <w:r w:rsidRPr="0060219F">
                    <w:rPr>
                      <w:rFonts w:ascii="Arial" w:hAnsi="Arial" w:cs="Arial"/>
                      <w:sz w:val="20"/>
                      <w:szCs w:val="20"/>
                    </w:rPr>
                    <w:t>value</w:t>
                  </w:r>
                </w:p>
              </w:tc>
              <w:tc>
                <w:tcPr>
                  <w:tcW w:w="1754" w:type="dxa"/>
                </w:tcPr>
                <w:p w14:paraId="1EB80636" w14:textId="61A17402" w:rsidR="00E81333" w:rsidRPr="00CA5FDA" w:rsidRDefault="00E81333" w:rsidP="00CA5FDA">
                  <w:pPr>
                    <w:pStyle w:val="Default"/>
                    <w:jc w:val="center"/>
                    <w:rPr>
                      <w:rFonts w:ascii="Arial" w:hAnsi="Arial" w:cs="Arial"/>
                      <w:sz w:val="20"/>
                      <w:szCs w:val="20"/>
                    </w:rPr>
                  </w:pPr>
                  <w:r w:rsidRPr="00CA5FDA">
                    <w:rPr>
                      <w:rFonts w:ascii="Arial" w:hAnsi="Arial" w:cs="Arial"/>
                      <w:sz w:val="20"/>
                      <w:szCs w:val="20"/>
                    </w:rPr>
                    <w:t>&lt;0.001</w:t>
                  </w:r>
                </w:p>
              </w:tc>
              <w:tc>
                <w:tcPr>
                  <w:tcW w:w="1753" w:type="dxa"/>
                </w:tcPr>
                <w:p w14:paraId="14D30F20" w14:textId="09EC6A7D" w:rsidR="00E81333" w:rsidRPr="00CA5FDA" w:rsidRDefault="00E81333" w:rsidP="00CA5FDA">
                  <w:pPr>
                    <w:pStyle w:val="Default"/>
                    <w:jc w:val="center"/>
                    <w:rPr>
                      <w:rFonts w:ascii="Arial" w:hAnsi="Arial" w:cs="Arial"/>
                      <w:sz w:val="20"/>
                      <w:szCs w:val="20"/>
                    </w:rPr>
                  </w:pPr>
                  <w:r w:rsidRPr="00CA5FDA">
                    <w:rPr>
                      <w:rFonts w:ascii="Arial" w:hAnsi="Arial" w:cs="Arial"/>
                      <w:sz w:val="20"/>
                      <w:szCs w:val="20"/>
                    </w:rPr>
                    <w:t>&lt;0.001</w:t>
                  </w:r>
                </w:p>
              </w:tc>
              <w:tc>
                <w:tcPr>
                  <w:tcW w:w="1757" w:type="dxa"/>
                </w:tcPr>
                <w:p w14:paraId="7FF7F95D" w14:textId="4DBDF741" w:rsidR="00E81333" w:rsidRPr="00CA5FDA" w:rsidRDefault="00E81333" w:rsidP="00CA5FDA">
                  <w:pPr>
                    <w:pStyle w:val="Default"/>
                    <w:jc w:val="center"/>
                    <w:rPr>
                      <w:rFonts w:ascii="Arial" w:hAnsi="Arial" w:cs="Arial"/>
                      <w:sz w:val="20"/>
                      <w:szCs w:val="20"/>
                    </w:rPr>
                  </w:pPr>
                  <w:r w:rsidRPr="00CA5FDA">
                    <w:rPr>
                      <w:rFonts w:ascii="Arial" w:hAnsi="Arial" w:cs="Arial"/>
                      <w:sz w:val="20"/>
                      <w:szCs w:val="20"/>
                    </w:rPr>
                    <w:t>–</w:t>
                  </w:r>
                </w:p>
              </w:tc>
            </w:tr>
            <w:tr w:rsidR="00472C52" w14:paraId="67A44332" w14:textId="77777777" w:rsidTr="00AA23F5">
              <w:trPr>
                <w:trHeight w:val="377"/>
              </w:trPr>
              <w:tc>
                <w:tcPr>
                  <w:tcW w:w="7017" w:type="dxa"/>
                  <w:gridSpan w:val="4"/>
                </w:tcPr>
                <w:p w14:paraId="7681ABAF" w14:textId="2C9F599C" w:rsidR="00472C52" w:rsidRPr="00CA5FDA" w:rsidRDefault="00472C52" w:rsidP="00E81333">
                  <w:pPr>
                    <w:pStyle w:val="Default"/>
                    <w:rPr>
                      <w:rFonts w:ascii="Arial" w:hAnsi="Arial" w:cs="Arial"/>
                      <w:sz w:val="20"/>
                      <w:szCs w:val="20"/>
                    </w:rPr>
                  </w:pPr>
                  <w:r w:rsidRPr="00CA5FDA">
                    <w:rPr>
                      <w:rFonts w:ascii="Arial" w:hAnsi="Arial" w:cs="Arial"/>
                      <w:b/>
                      <w:bCs/>
                      <w:sz w:val="20"/>
                      <w:szCs w:val="20"/>
                    </w:rPr>
                    <w:t xml:space="preserve">Secondary Endpoint: Change from Baseline in QMG </w:t>
                  </w:r>
                  <w:r w:rsidR="0034023C" w:rsidRPr="00CA5FDA">
                    <w:rPr>
                      <w:rFonts w:ascii="Arial" w:hAnsi="Arial" w:cs="Arial"/>
                      <w:b/>
                      <w:bCs/>
                      <w:sz w:val="20"/>
                      <w:szCs w:val="20"/>
                    </w:rPr>
                    <w:t xml:space="preserve">Total Score </w:t>
                  </w:r>
                </w:p>
              </w:tc>
            </w:tr>
            <w:tr w:rsidR="00E81333" w:rsidRPr="0049401D" w14:paraId="1198C8EE" w14:textId="77777777" w:rsidTr="00AA23F5">
              <w:trPr>
                <w:trHeight w:val="377"/>
              </w:trPr>
              <w:tc>
                <w:tcPr>
                  <w:tcW w:w="1753" w:type="dxa"/>
                </w:tcPr>
                <w:p w14:paraId="5F3BA6A3" w14:textId="6B24486A" w:rsidR="00E81333" w:rsidRPr="00CA5FDA" w:rsidRDefault="003F083A"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LS Mean (SE)</w:t>
                  </w:r>
                </w:p>
              </w:tc>
              <w:tc>
                <w:tcPr>
                  <w:tcW w:w="1754" w:type="dxa"/>
                </w:tcPr>
                <w:p w14:paraId="0E749788" w14:textId="10467BEB" w:rsidR="00E81333" w:rsidRPr="00CA5FDA" w:rsidRDefault="0089414D"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-5.4 (0.7)</w:t>
                  </w:r>
                </w:p>
              </w:tc>
              <w:tc>
                <w:tcPr>
                  <w:tcW w:w="1753" w:type="dxa"/>
                </w:tcPr>
                <w:p w14:paraId="29E5E77E" w14:textId="03CF2065" w:rsidR="00E81333" w:rsidRPr="00CA5FDA" w:rsidRDefault="0089414D"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-6.7 (0.7)</w:t>
                  </w:r>
                </w:p>
              </w:tc>
              <w:tc>
                <w:tcPr>
                  <w:tcW w:w="1757" w:type="dxa"/>
                </w:tcPr>
                <w:p w14:paraId="22476B91" w14:textId="7A44148D" w:rsidR="00E81333" w:rsidRPr="00CA5FDA" w:rsidRDefault="0089414D"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-1.9 (0.7)</w:t>
                  </w:r>
                </w:p>
              </w:tc>
            </w:tr>
            <w:tr w:rsidR="0089414D" w:rsidRPr="0049401D" w14:paraId="06D478D0" w14:textId="77777777" w:rsidTr="00AA23F5">
              <w:trPr>
                <w:trHeight w:val="377"/>
              </w:trPr>
              <w:tc>
                <w:tcPr>
                  <w:tcW w:w="1753" w:type="dxa"/>
                </w:tcPr>
                <w:p w14:paraId="7779C207" w14:textId="5727292C" w:rsidR="0089414D" w:rsidRPr="00CA5FDA" w:rsidRDefault="00AB1CF6"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Difference from placebo (95% CI)</w:t>
                  </w:r>
                </w:p>
              </w:tc>
              <w:tc>
                <w:tcPr>
                  <w:tcW w:w="1754" w:type="dxa"/>
                </w:tcPr>
                <w:p w14:paraId="15156CAC" w14:textId="13F157EA" w:rsidR="0089414D" w:rsidRPr="00CA5FDA" w:rsidRDefault="007310CE"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-3.5 (-5.6, -1.6)</w:t>
                  </w:r>
                </w:p>
              </w:tc>
              <w:tc>
                <w:tcPr>
                  <w:tcW w:w="1753" w:type="dxa"/>
                </w:tcPr>
                <w:p w14:paraId="71F6CC23" w14:textId="7DDF8243" w:rsidR="0089414D" w:rsidRPr="00CA5FDA" w:rsidRDefault="007310CE" w:rsidP="00CA5FDA">
                  <w:pPr>
                    <w:pStyle w:val="ListParagraph"/>
                    <w:spacing w:after="0" w:line="240" w:lineRule="auto"/>
                    <w:ind w:left="0"/>
                    <w:jc w:val="center"/>
                    <w:rPr>
                      <w:rFonts w:ascii="Arial" w:eastAsia="Arial" w:hAnsi="Arial" w:cs="Arial"/>
                      <w:sz w:val="20"/>
                      <w:szCs w:val="20"/>
                    </w:rPr>
                  </w:pPr>
                  <w:r w:rsidRPr="00CA5FDA">
                    <w:rPr>
                      <w:rFonts w:ascii="Arial" w:eastAsia="Arial" w:hAnsi="Arial" w:cs="Arial"/>
                      <w:sz w:val="20"/>
                      <w:szCs w:val="20"/>
                    </w:rPr>
                    <w:t>-4.8 (-6.8, -2.9)</w:t>
                  </w:r>
                </w:p>
              </w:tc>
              <w:tc>
                <w:tcPr>
                  <w:tcW w:w="1757" w:type="dxa"/>
                </w:tcPr>
                <w:p w14:paraId="240249C3" w14:textId="3B9DA302" w:rsidR="0089414D" w:rsidRPr="00CA5FDA" w:rsidRDefault="000E0DCD" w:rsidP="00CA5FDA">
                  <w:pPr>
                    <w:pStyle w:val="ListParagraph"/>
                    <w:spacing w:after="0" w:line="240" w:lineRule="auto"/>
                    <w:ind w:left="0"/>
                    <w:jc w:val="center"/>
                    <w:rPr>
                      <w:rFonts w:ascii="Arial" w:eastAsia="Arial" w:hAnsi="Arial" w:cs="Arial"/>
                      <w:sz w:val="20"/>
                      <w:szCs w:val="20"/>
                    </w:rPr>
                  </w:pPr>
                  <w:r w:rsidRPr="00CA5FDA">
                    <w:rPr>
                      <w:rFonts w:ascii="Arial" w:hAnsi="Arial" w:cs="Arial"/>
                      <w:sz w:val="20"/>
                      <w:szCs w:val="20"/>
                    </w:rPr>
                    <w:t>–</w:t>
                  </w:r>
                </w:p>
              </w:tc>
            </w:tr>
            <w:tr w:rsidR="00F21F88" w:rsidRPr="0049401D" w14:paraId="6E3970CF" w14:textId="77777777" w:rsidTr="00AA23F5">
              <w:trPr>
                <w:trHeight w:val="377"/>
              </w:trPr>
              <w:tc>
                <w:tcPr>
                  <w:tcW w:w="1753" w:type="dxa"/>
                </w:tcPr>
                <w:p w14:paraId="5BED7F79" w14:textId="17429C76" w:rsidR="00F21F88" w:rsidRPr="0060219F" w:rsidRDefault="0060219F" w:rsidP="00CA5FDA">
                  <w:pPr>
                    <w:pStyle w:val="ListParagraph"/>
                    <w:spacing w:after="0" w:line="240" w:lineRule="auto"/>
                    <w:ind w:left="0"/>
                    <w:jc w:val="center"/>
                    <w:rPr>
                      <w:rFonts w:ascii="Arial" w:eastAsia="Arial" w:hAnsi="Arial" w:cs="Arial"/>
                      <w:sz w:val="20"/>
                      <w:szCs w:val="20"/>
                    </w:rPr>
                  </w:pPr>
                  <w:r>
                    <w:rPr>
                      <w:rFonts w:ascii="Arial" w:eastAsia="Arial" w:hAnsi="Arial" w:cs="Arial"/>
                      <w:i/>
                      <w:iCs/>
                      <w:sz w:val="20"/>
                      <w:szCs w:val="20"/>
                    </w:rPr>
                    <w:t>P</w:t>
                  </w:r>
                  <w:r>
                    <w:rPr>
                      <w:rFonts w:ascii="Arial" w:eastAsia="Arial" w:hAnsi="Arial" w:cs="Arial"/>
                      <w:sz w:val="20"/>
                      <w:szCs w:val="20"/>
                    </w:rPr>
                    <w:t>-value</w:t>
                  </w:r>
                </w:p>
              </w:tc>
              <w:tc>
                <w:tcPr>
                  <w:tcW w:w="1754" w:type="dxa"/>
                </w:tcPr>
                <w:p w14:paraId="41403A98" w14:textId="07D94436" w:rsidR="00F21F88" w:rsidRPr="00CA5FDA" w:rsidRDefault="0060219F" w:rsidP="00CA5FDA">
                  <w:pPr>
                    <w:pStyle w:val="ListParagraph"/>
                    <w:spacing w:after="0" w:line="240" w:lineRule="auto"/>
                    <w:ind w:left="0"/>
                    <w:jc w:val="center"/>
                    <w:rPr>
                      <w:rFonts w:ascii="Arial" w:eastAsia="Arial" w:hAnsi="Arial" w:cs="Arial"/>
                      <w:sz w:val="20"/>
                      <w:szCs w:val="20"/>
                    </w:rPr>
                  </w:pPr>
                  <w:r>
                    <w:rPr>
                      <w:rFonts w:ascii="Arial" w:eastAsia="Arial" w:hAnsi="Arial" w:cs="Arial"/>
                      <w:sz w:val="20"/>
                      <w:szCs w:val="20"/>
                    </w:rPr>
                    <w:t>&lt;0.001</w:t>
                  </w:r>
                </w:p>
              </w:tc>
              <w:tc>
                <w:tcPr>
                  <w:tcW w:w="1753" w:type="dxa"/>
                </w:tcPr>
                <w:p w14:paraId="5814B9CD" w14:textId="49101631" w:rsidR="00F21F88" w:rsidRPr="00CA5FDA" w:rsidRDefault="0060219F" w:rsidP="00CA5FDA">
                  <w:pPr>
                    <w:pStyle w:val="ListParagraph"/>
                    <w:spacing w:after="0" w:line="240" w:lineRule="auto"/>
                    <w:ind w:left="0"/>
                    <w:jc w:val="center"/>
                    <w:rPr>
                      <w:rFonts w:ascii="Arial" w:eastAsia="Arial" w:hAnsi="Arial" w:cs="Arial"/>
                      <w:sz w:val="20"/>
                      <w:szCs w:val="20"/>
                    </w:rPr>
                  </w:pPr>
                  <w:r>
                    <w:rPr>
                      <w:rFonts w:ascii="Arial" w:eastAsia="Arial" w:hAnsi="Arial" w:cs="Arial"/>
                      <w:sz w:val="20"/>
                      <w:szCs w:val="20"/>
                    </w:rPr>
                    <w:t>&lt;0.001</w:t>
                  </w:r>
                </w:p>
              </w:tc>
              <w:tc>
                <w:tcPr>
                  <w:tcW w:w="1757" w:type="dxa"/>
                </w:tcPr>
                <w:p w14:paraId="2E28CC7C" w14:textId="04AB3608" w:rsidR="00F21F88" w:rsidRPr="00CA5FDA" w:rsidRDefault="0060219F" w:rsidP="00CA5FDA">
                  <w:pPr>
                    <w:pStyle w:val="ListParagraph"/>
                    <w:spacing w:after="0" w:line="240" w:lineRule="auto"/>
                    <w:ind w:left="0"/>
                    <w:jc w:val="center"/>
                    <w:rPr>
                      <w:rFonts w:ascii="Arial" w:hAnsi="Arial" w:cs="Arial"/>
                      <w:sz w:val="20"/>
                      <w:szCs w:val="20"/>
                    </w:rPr>
                  </w:pPr>
                  <w:r>
                    <w:t>–</w:t>
                  </w:r>
                </w:p>
              </w:tc>
            </w:tr>
          </w:tbl>
          <w:bookmarkEnd w:id="0"/>
          <w:p w14:paraId="5724725C" w14:textId="48B40A2C" w:rsidR="0016140E" w:rsidRPr="00C074BB" w:rsidRDefault="00A41C03" w:rsidP="00A41C03">
            <w:pPr>
              <w:pStyle w:val="NoSpacing"/>
              <w:ind w:left="360"/>
              <w:rPr>
                <w:rFonts w:eastAsia="Arial"/>
                <w:sz w:val="16"/>
                <w:szCs w:val="16"/>
              </w:rPr>
            </w:pPr>
            <w:r w:rsidRPr="00C074BB">
              <w:rPr>
                <w:rFonts w:eastAsia="Arial"/>
                <w:sz w:val="16"/>
                <w:szCs w:val="16"/>
              </w:rPr>
              <w:t>CI = confidence interval; MG-ADL, myasthenia gravis activities of daily living scale; QMG, quantitative myasthenia gravis; LS = least square; SE = standard error.</w:t>
            </w:r>
          </w:p>
          <w:p w14:paraId="1A2F568C" w14:textId="6B10E3AB" w:rsidR="00AB1CF6" w:rsidRDefault="00AB1CF6" w:rsidP="00492713">
            <w:pPr>
              <w:pStyle w:val="NoSpacing"/>
              <w:rPr>
                <w:rFonts w:eastAsia="Arial"/>
                <w:sz w:val="20"/>
                <w:szCs w:val="20"/>
              </w:rPr>
            </w:pPr>
          </w:p>
          <w:p w14:paraId="1661D802" w14:textId="4F953B2D" w:rsidR="00492713" w:rsidRDefault="00B7578B" w:rsidP="00492713">
            <w:pPr>
              <w:pStyle w:val="NoSpacing"/>
              <w:numPr>
                <w:ilvl w:val="0"/>
                <w:numId w:val="36"/>
              </w:numPr>
              <w:rPr>
                <w:rFonts w:eastAsia="Arial"/>
                <w:sz w:val="20"/>
                <w:szCs w:val="20"/>
              </w:rPr>
            </w:pPr>
            <w:r>
              <w:rPr>
                <w:rFonts w:eastAsia="Arial"/>
                <w:sz w:val="20"/>
                <w:szCs w:val="20"/>
              </w:rPr>
              <w:t xml:space="preserve">Adverse events that </w:t>
            </w:r>
            <w:r w:rsidR="00F90EA4">
              <w:rPr>
                <w:rFonts w:eastAsia="Arial"/>
                <w:sz w:val="20"/>
                <w:szCs w:val="20"/>
              </w:rPr>
              <w:t xml:space="preserve">occurred in ≥10% of </w:t>
            </w:r>
            <w:r w:rsidR="00793CC9">
              <w:rPr>
                <w:rFonts w:eastAsia="Arial"/>
                <w:sz w:val="20"/>
                <w:szCs w:val="20"/>
              </w:rPr>
              <w:t>patients in the treatment group (n = 133)</w:t>
            </w:r>
            <w:r w:rsidR="00C05F7F">
              <w:rPr>
                <w:rFonts w:eastAsia="Arial"/>
                <w:sz w:val="20"/>
                <w:szCs w:val="20"/>
              </w:rPr>
              <w:t xml:space="preserve">: </w:t>
            </w:r>
            <w:r w:rsidR="004C66B7" w:rsidRPr="004C66B7">
              <w:rPr>
                <w:rFonts w:eastAsia="Arial"/>
                <w:sz w:val="20"/>
                <w:szCs w:val="20"/>
              </w:rPr>
              <w:t>headache (44%), infections (23%), diarrhea (20%), pyrexia (17%), hypersensitivity reactions (11%), and nausea (10%)</w:t>
            </w:r>
            <w:r w:rsidR="004C66B7">
              <w:rPr>
                <w:rFonts w:eastAsia="Arial"/>
                <w:sz w:val="20"/>
                <w:szCs w:val="20"/>
              </w:rPr>
              <w:t xml:space="preserve">. </w:t>
            </w:r>
          </w:p>
          <w:p w14:paraId="3C9B0A29" w14:textId="77777777" w:rsidR="003F7AF2" w:rsidRDefault="00A25A7D" w:rsidP="006D3791">
            <w:pPr>
              <w:pStyle w:val="NoSpacing"/>
              <w:numPr>
                <w:ilvl w:val="1"/>
                <w:numId w:val="36"/>
              </w:numPr>
              <w:rPr>
                <w:rFonts w:eastAsia="Arial"/>
                <w:sz w:val="20"/>
                <w:szCs w:val="20"/>
              </w:rPr>
            </w:pPr>
            <w:r w:rsidRPr="00A25A7D">
              <w:rPr>
                <w:rFonts w:eastAsia="Arial"/>
                <w:sz w:val="20"/>
                <w:szCs w:val="20"/>
              </w:rPr>
              <w:t xml:space="preserve">In clinical trials, one patient with </w:t>
            </w:r>
            <w:proofErr w:type="spellStart"/>
            <w:r w:rsidRPr="00A25A7D">
              <w:rPr>
                <w:rFonts w:eastAsia="Arial"/>
                <w:sz w:val="20"/>
                <w:szCs w:val="20"/>
              </w:rPr>
              <w:t>gMG</w:t>
            </w:r>
            <w:proofErr w:type="spellEnd"/>
            <w:r w:rsidRPr="00A25A7D">
              <w:rPr>
                <w:rFonts w:eastAsia="Arial"/>
                <w:sz w:val="20"/>
                <w:szCs w:val="20"/>
              </w:rPr>
              <w:t xml:space="preserve"> and two patients with another neurological</w:t>
            </w:r>
            <w:r>
              <w:rPr>
                <w:rFonts w:eastAsia="Arial"/>
                <w:sz w:val="20"/>
                <w:szCs w:val="20"/>
              </w:rPr>
              <w:t xml:space="preserve"> </w:t>
            </w:r>
            <w:r w:rsidRPr="00A25A7D">
              <w:rPr>
                <w:rFonts w:eastAsia="Arial"/>
                <w:sz w:val="20"/>
                <w:szCs w:val="20"/>
              </w:rPr>
              <w:t>disease experienced a serious adverse reaction of drug-induced aseptic meningitis,</w:t>
            </w:r>
            <w:r w:rsidR="00F572C4">
              <w:rPr>
                <w:rFonts w:eastAsia="Arial"/>
                <w:sz w:val="20"/>
                <w:szCs w:val="20"/>
              </w:rPr>
              <w:t xml:space="preserve"> </w:t>
            </w:r>
            <w:r w:rsidRPr="00F572C4">
              <w:rPr>
                <w:rFonts w:eastAsia="Arial"/>
                <w:sz w:val="20"/>
                <w:szCs w:val="20"/>
              </w:rPr>
              <w:t xml:space="preserve">which led to hospitalization and discontinuation of </w:t>
            </w:r>
            <w:proofErr w:type="spellStart"/>
            <w:r w:rsidRPr="00F572C4">
              <w:rPr>
                <w:rFonts w:eastAsia="Arial"/>
                <w:sz w:val="20"/>
                <w:szCs w:val="20"/>
              </w:rPr>
              <w:t>R</w:t>
            </w:r>
            <w:r w:rsidR="00F572C4" w:rsidRPr="00F572C4">
              <w:rPr>
                <w:rFonts w:eastAsia="Arial"/>
                <w:sz w:val="20"/>
                <w:szCs w:val="20"/>
              </w:rPr>
              <w:t>ystiggo</w:t>
            </w:r>
            <w:proofErr w:type="spellEnd"/>
            <w:r w:rsidR="00F572C4" w:rsidRPr="00F572C4">
              <w:rPr>
                <w:rFonts w:eastAsia="Arial"/>
                <w:sz w:val="20"/>
                <w:szCs w:val="20"/>
              </w:rPr>
              <w:t>.</w:t>
            </w:r>
          </w:p>
          <w:p w14:paraId="4FA2A147" w14:textId="66CEED10" w:rsidR="00A25A7D" w:rsidRPr="00F572C4" w:rsidRDefault="000E3CFD" w:rsidP="006D3791">
            <w:pPr>
              <w:pStyle w:val="NoSpacing"/>
              <w:numPr>
                <w:ilvl w:val="1"/>
                <w:numId w:val="36"/>
              </w:numPr>
              <w:rPr>
                <w:rFonts w:eastAsia="Arial"/>
                <w:sz w:val="20"/>
                <w:szCs w:val="20"/>
              </w:rPr>
            </w:pPr>
            <w:r>
              <w:rPr>
                <w:rFonts w:eastAsia="Arial"/>
                <w:sz w:val="20"/>
                <w:szCs w:val="20"/>
              </w:rPr>
              <w:t xml:space="preserve">No deaths </w:t>
            </w:r>
            <w:r w:rsidR="00B53BEA">
              <w:rPr>
                <w:rFonts w:eastAsia="Arial"/>
                <w:sz w:val="20"/>
                <w:szCs w:val="20"/>
              </w:rPr>
              <w:t xml:space="preserve">occurred. </w:t>
            </w:r>
          </w:p>
          <w:p w14:paraId="48E7E366" w14:textId="392FFA31" w:rsidR="00E04069" w:rsidRPr="00417F7D" w:rsidRDefault="00E04069" w:rsidP="008E30CE">
            <w:pPr>
              <w:pStyle w:val="NoSpacing"/>
              <w:rPr>
                <w:rFonts w:eastAsia="Arial"/>
                <w:sz w:val="20"/>
                <w:szCs w:val="20"/>
              </w:rPr>
            </w:pPr>
          </w:p>
        </w:tc>
      </w:tr>
      <w:tr w:rsidR="00DD7B75" w:rsidRPr="00417F7D" w14:paraId="41992EF2" w14:textId="77777777" w:rsidTr="0089062E">
        <w:trPr>
          <w:trHeight w:val="467"/>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704A9F9D" w14:textId="58073778" w:rsidR="00DD7B75" w:rsidRPr="00417F7D" w:rsidRDefault="004C062C" w:rsidP="00DD7B75">
            <w:pPr>
              <w:tabs>
                <w:tab w:val="left" w:pos="2400"/>
              </w:tabs>
              <w:suppressAutoHyphens/>
              <w:spacing w:before="60" w:after="60" w:line="220" w:lineRule="exact"/>
              <w:rPr>
                <w:b/>
                <w:color w:val="FFFFFF"/>
                <w:sz w:val="20"/>
                <w:szCs w:val="20"/>
              </w:rPr>
            </w:pPr>
            <w:r w:rsidRPr="00417F7D">
              <w:rPr>
                <w:b/>
                <w:bCs/>
                <w:color w:val="FFFFFF"/>
                <w:sz w:val="20"/>
                <w:szCs w:val="20"/>
              </w:rPr>
              <w:lastRenderedPageBreak/>
              <w:t>Price Per Unit (WAC):</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vAlign w:val="center"/>
          </w:tcPr>
          <w:p w14:paraId="305B0311" w14:textId="306C1EE0" w:rsidR="00B904ED" w:rsidRDefault="00E22DC4" w:rsidP="00B904ED">
            <w:pPr>
              <w:pStyle w:val="NoSpacing"/>
              <w:numPr>
                <w:ilvl w:val="0"/>
                <w:numId w:val="36"/>
              </w:numPr>
              <w:rPr>
                <w:sz w:val="20"/>
                <w:szCs w:val="20"/>
              </w:rPr>
            </w:pPr>
            <w:r>
              <w:rPr>
                <w:sz w:val="20"/>
                <w:szCs w:val="20"/>
              </w:rPr>
              <w:t>$6,0</w:t>
            </w:r>
            <w:r w:rsidR="00575278">
              <w:rPr>
                <w:sz w:val="20"/>
                <w:szCs w:val="20"/>
              </w:rPr>
              <w:t>50</w:t>
            </w:r>
            <w:r w:rsidR="000F7197">
              <w:rPr>
                <w:sz w:val="20"/>
                <w:szCs w:val="20"/>
              </w:rPr>
              <w:t xml:space="preserve"> per </w:t>
            </w:r>
            <w:r w:rsidR="00394CCC">
              <w:rPr>
                <w:sz w:val="20"/>
                <w:szCs w:val="20"/>
              </w:rPr>
              <w:t xml:space="preserve">2 mL </w:t>
            </w:r>
            <w:r w:rsidR="000F7197">
              <w:rPr>
                <w:sz w:val="20"/>
                <w:szCs w:val="20"/>
              </w:rPr>
              <w:t xml:space="preserve">vial </w:t>
            </w:r>
          </w:p>
          <w:p w14:paraId="2D092D60" w14:textId="2393FB52" w:rsidR="00317700" w:rsidRDefault="00486CEE" w:rsidP="00B904ED">
            <w:pPr>
              <w:pStyle w:val="NoSpacing"/>
              <w:numPr>
                <w:ilvl w:val="0"/>
                <w:numId w:val="36"/>
              </w:numPr>
              <w:rPr>
                <w:sz w:val="20"/>
                <w:szCs w:val="20"/>
              </w:rPr>
            </w:pPr>
            <w:r>
              <w:rPr>
                <w:sz w:val="20"/>
                <w:szCs w:val="20"/>
              </w:rPr>
              <w:t>$</w:t>
            </w:r>
            <w:r w:rsidR="00B46881">
              <w:rPr>
                <w:sz w:val="20"/>
                <w:szCs w:val="20"/>
              </w:rPr>
              <w:t>72,6</w:t>
            </w:r>
            <w:r w:rsidR="00DA25E8">
              <w:rPr>
                <w:sz w:val="20"/>
                <w:szCs w:val="20"/>
              </w:rPr>
              <w:t>00 per treatment cycle (</w:t>
            </w:r>
            <w:r w:rsidR="00BC5D76">
              <w:rPr>
                <w:sz w:val="20"/>
                <w:szCs w:val="20"/>
              </w:rPr>
              <w:t xml:space="preserve">based on a </w:t>
            </w:r>
            <w:r w:rsidR="00274C80">
              <w:rPr>
                <w:sz w:val="20"/>
                <w:szCs w:val="20"/>
              </w:rPr>
              <w:t xml:space="preserve">70 kg </w:t>
            </w:r>
            <w:r w:rsidR="007B1778">
              <w:rPr>
                <w:sz w:val="20"/>
                <w:szCs w:val="20"/>
              </w:rPr>
              <w:t>patient</w:t>
            </w:r>
            <w:r w:rsidR="004F198A">
              <w:rPr>
                <w:sz w:val="20"/>
                <w:szCs w:val="20"/>
              </w:rPr>
              <w:t xml:space="preserve"> receiving </w:t>
            </w:r>
            <w:r w:rsidR="00274C80">
              <w:rPr>
                <w:sz w:val="20"/>
                <w:szCs w:val="20"/>
              </w:rPr>
              <w:t>560 mg (4 mL) once weekly for 6 weeks</w:t>
            </w:r>
            <w:r w:rsidR="001968B2">
              <w:rPr>
                <w:sz w:val="20"/>
                <w:szCs w:val="20"/>
              </w:rPr>
              <w:t>)</w:t>
            </w:r>
          </w:p>
          <w:p w14:paraId="2B247A1A" w14:textId="2E48DDEC" w:rsidR="00B46881" w:rsidRPr="00417F7D" w:rsidRDefault="00B46881" w:rsidP="00B904ED">
            <w:pPr>
              <w:pStyle w:val="NoSpacing"/>
              <w:numPr>
                <w:ilvl w:val="0"/>
                <w:numId w:val="36"/>
              </w:numPr>
              <w:rPr>
                <w:sz w:val="20"/>
                <w:szCs w:val="20"/>
              </w:rPr>
            </w:pPr>
            <w:r>
              <w:rPr>
                <w:sz w:val="20"/>
                <w:szCs w:val="20"/>
              </w:rPr>
              <w:t xml:space="preserve">$290,400 per year </w:t>
            </w:r>
            <w:r w:rsidR="00BC5D76">
              <w:rPr>
                <w:sz w:val="20"/>
                <w:szCs w:val="20"/>
              </w:rPr>
              <w:t xml:space="preserve">(based on four treatment cycles per year) </w:t>
            </w:r>
          </w:p>
          <w:p w14:paraId="79DA2A64" w14:textId="1A4E41CF" w:rsidR="008E6C65" w:rsidRPr="00417F7D" w:rsidRDefault="008E6C65" w:rsidP="0089062E">
            <w:pPr>
              <w:pStyle w:val="NoSpacing"/>
              <w:rPr>
                <w:sz w:val="20"/>
                <w:szCs w:val="20"/>
              </w:rPr>
            </w:pPr>
          </w:p>
        </w:tc>
      </w:tr>
      <w:tr w:rsidR="00DD7B75" w:rsidRPr="00417F7D" w14:paraId="4C609E73" w14:textId="77777777" w:rsidTr="151A7E19">
        <w:trPr>
          <w:trHeight w:val="836"/>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2CAAD40E" w14:textId="77777777" w:rsidR="00DD7B75" w:rsidRPr="00417F7D" w:rsidRDefault="00DD7B75" w:rsidP="00DD7B75">
            <w:pPr>
              <w:tabs>
                <w:tab w:val="left" w:pos="2400"/>
              </w:tabs>
              <w:suppressAutoHyphens/>
              <w:spacing w:before="60" w:after="60" w:line="220" w:lineRule="exact"/>
              <w:rPr>
                <w:b/>
                <w:color w:val="FFFFFF"/>
                <w:sz w:val="20"/>
                <w:szCs w:val="20"/>
              </w:rPr>
            </w:pPr>
            <w:r w:rsidRPr="00417F7D">
              <w:rPr>
                <w:b/>
                <w:color w:val="FFFFFF" w:themeColor="background1"/>
                <w:sz w:val="20"/>
                <w:szCs w:val="20"/>
              </w:rPr>
              <w:t>Therapeutic Alternatives:</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3E659051" w14:textId="3B22FD84" w:rsidR="00A2285A" w:rsidRPr="0081731F" w:rsidRDefault="0081731F" w:rsidP="00A2285A">
            <w:pPr>
              <w:pStyle w:val="NoSpacing"/>
              <w:rPr>
                <w:rFonts w:eastAsia="Arial"/>
                <w:sz w:val="20"/>
                <w:szCs w:val="20"/>
                <w:u w:val="single"/>
              </w:rPr>
            </w:pPr>
            <w:proofErr w:type="spellStart"/>
            <w:r>
              <w:rPr>
                <w:rFonts w:eastAsia="Arial"/>
                <w:sz w:val="20"/>
                <w:szCs w:val="20"/>
                <w:u w:val="single"/>
              </w:rPr>
              <w:t>FcRn</w:t>
            </w:r>
            <w:proofErr w:type="spellEnd"/>
            <w:r>
              <w:rPr>
                <w:rFonts w:eastAsia="Arial"/>
                <w:sz w:val="20"/>
                <w:szCs w:val="20"/>
                <w:u w:val="single"/>
              </w:rPr>
              <w:t xml:space="preserve"> Antagonists</w:t>
            </w:r>
          </w:p>
          <w:p w14:paraId="79EE75D1" w14:textId="45D5250B" w:rsidR="008319DA" w:rsidRDefault="00C57FDB" w:rsidP="00DD5691">
            <w:pPr>
              <w:pStyle w:val="NoSpacing"/>
              <w:numPr>
                <w:ilvl w:val="0"/>
                <w:numId w:val="37"/>
              </w:numPr>
              <w:rPr>
                <w:rFonts w:eastAsia="Arial"/>
                <w:sz w:val="20"/>
                <w:szCs w:val="20"/>
              </w:rPr>
            </w:pPr>
            <w:proofErr w:type="spellStart"/>
            <w:r w:rsidRPr="00C57FDB">
              <w:rPr>
                <w:rFonts w:eastAsia="Arial"/>
                <w:sz w:val="20"/>
                <w:szCs w:val="20"/>
              </w:rPr>
              <w:t>Rystiggo</w:t>
            </w:r>
            <w:proofErr w:type="spellEnd"/>
            <w:r w:rsidRPr="00C57FDB">
              <w:rPr>
                <w:rFonts w:eastAsia="Arial"/>
                <w:sz w:val="20"/>
                <w:szCs w:val="20"/>
              </w:rPr>
              <w:t xml:space="preserve"> is the second </w:t>
            </w:r>
            <w:proofErr w:type="spellStart"/>
            <w:r w:rsidRPr="00C57FDB">
              <w:rPr>
                <w:rFonts w:eastAsia="Arial"/>
                <w:sz w:val="20"/>
                <w:szCs w:val="20"/>
              </w:rPr>
              <w:t>FcRn</w:t>
            </w:r>
            <w:proofErr w:type="spellEnd"/>
            <w:r w:rsidRPr="00C57FDB">
              <w:rPr>
                <w:rFonts w:eastAsia="Arial"/>
                <w:sz w:val="20"/>
                <w:szCs w:val="20"/>
              </w:rPr>
              <w:t xml:space="preserve"> antagonist FDA-approved for the treatment of </w:t>
            </w:r>
            <w:proofErr w:type="spellStart"/>
            <w:r w:rsidRPr="00C57FDB">
              <w:rPr>
                <w:rFonts w:eastAsia="Arial"/>
                <w:sz w:val="20"/>
                <w:szCs w:val="20"/>
              </w:rPr>
              <w:t>gMG</w:t>
            </w:r>
            <w:proofErr w:type="spellEnd"/>
            <w:r w:rsidRPr="00C57FDB">
              <w:rPr>
                <w:rFonts w:eastAsia="Arial"/>
                <w:sz w:val="20"/>
                <w:szCs w:val="20"/>
              </w:rPr>
              <w:t>. It is the only treatment approved for patients who are anti-</w:t>
            </w:r>
            <w:proofErr w:type="spellStart"/>
            <w:r w:rsidRPr="00C57FDB">
              <w:rPr>
                <w:rFonts w:eastAsia="Arial"/>
                <w:sz w:val="20"/>
                <w:szCs w:val="20"/>
              </w:rPr>
              <w:t>MuSK</w:t>
            </w:r>
            <w:proofErr w:type="spellEnd"/>
            <w:r w:rsidRPr="00C57FDB">
              <w:rPr>
                <w:rFonts w:eastAsia="Arial"/>
                <w:sz w:val="20"/>
                <w:szCs w:val="20"/>
              </w:rPr>
              <w:t xml:space="preserve"> </w:t>
            </w:r>
            <w:r w:rsidR="00514D6A">
              <w:rPr>
                <w:rFonts w:eastAsia="Arial"/>
                <w:sz w:val="20"/>
                <w:szCs w:val="20"/>
              </w:rPr>
              <w:t>Ab+</w:t>
            </w:r>
            <w:r w:rsidR="003C3D5A">
              <w:rPr>
                <w:rFonts w:eastAsia="Arial"/>
                <w:sz w:val="20"/>
                <w:szCs w:val="20"/>
              </w:rPr>
              <w:t>.</w:t>
            </w:r>
          </w:p>
          <w:p w14:paraId="1CEA61DF" w14:textId="4F9A0F6B" w:rsidR="00306420" w:rsidRDefault="002B2AE2" w:rsidP="00F70EEA">
            <w:pPr>
              <w:pStyle w:val="NoSpacing"/>
              <w:numPr>
                <w:ilvl w:val="1"/>
                <w:numId w:val="37"/>
              </w:numPr>
              <w:rPr>
                <w:rFonts w:eastAsia="Arial"/>
                <w:sz w:val="20"/>
                <w:szCs w:val="20"/>
              </w:rPr>
            </w:pPr>
            <w:proofErr w:type="spellStart"/>
            <w:r w:rsidRPr="002B2AE2">
              <w:rPr>
                <w:rFonts w:eastAsia="Arial"/>
                <w:sz w:val="20"/>
                <w:szCs w:val="20"/>
              </w:rPr>
              <w:t>Vyvgart</w:t>
            </w:r>
            <w:proofErr w:type="spellEnd"/>
            <w:r w:rsidRPr="002B2AE2">
              <w:rPr>
                <w:rFonts w:eastAsia="Arial"/>
                <w:sz w:val="20"/>
                <w:szCs w:val="20"/>
              </w:rPr>
              <w:t xml:space="preserve"> (IV administered) and </w:t>
            </w:r>
            <w:proofErr w:type="spellStart"/>
            <w:r w:rsidRPr="002B2AE2">
              <w:rPr>
                <w:rFonts w:eastAsia="Arial"/>
                <w:sz w:val="20"/>
                <w:szCs w:val="20"/>
              </w:rPr>
              <w:t>Vyvgart</w:t>
            </w:r>
            <w:proofErr w:type="spellEnd"/>
            <w:r w:rsidRPr="002B2AE2">
              <w:rPr>
                <w:rFonts w:eastAsia="Arial"/>
                <w:sz w:val="20"/>
                <w:szCs w:val="20"/>
              </w:rPr>
              <w:t xml:space="preserve"> </w:t>
            </w:r>
            <w:proofErr w:type="spellStart"/>
            <w:r w:rsidRPr="002B2AE2">
              <w:rPr>
                <w:rFonts w:eastAsia="Arial"/>
                <w:sz w:val="20"/>
                <w:szCs w:val="20"/>
              </w:rPr>
              <w:t>Hytrulo</w:t>
            </w:r>
            <w:proofErr w:type="spellEnd"/>
            <w:r w:rsidRPr="002B2AE2">
              <w:rPr>
                <w:rFonts w:eastAsia="Arial"/>
                <w:sz w:val="20"/>
                <w:szCs w:val="20"/>
              </w:rPr>
              <w:t xml:space="preserve"> (SC injected)</w:t>
            </w:r>
            <w:r w:rsidR="00F70EEA">
              <w:rPr>
                <w:rFonts w:eastAsia="Arial"/>
                <w:sz w:val="20"/>
                <w:szCs w:val="20"/>
              </w:rPr>
              <w:t xml:space="preserve"> are </w:t>
            </w:r>
            <w:proofErr w:type="spellStart"/>
            <w:r w:rsidR="00F70EEA">
              <w:rPr>
                <w:rFonts w:eastAsia="Arial"/>
                <w:sz w:val="20"/>
                <w:szCs w:val="20"/>
              </w:rPr>
              <w:t>FcR</w:t>
            </w:r>
            <w:r w:rsidR="00D864D1">
              <w:rPr>
                <w:rFonts w:eastAsia="Arial"/>
                <w:sz w:val="20"/>
                <w:szCs w:val="20"/>
              </w:rPr>
              <w:t>n</w:t>
            </w:r>
            <w:proofErr w:type="spellEnd"/>
            <w:r w:rsidR="00F70EEA">
              <w:rPr>
                <w:rFonts w:eastAsia="Arial"/>
                <w:sz w:val="20"/>
                <w:szCs w:val="20"/>
              </w:rPr>
              <w:t xml:space="preserve"> </w:t>
            </w:r>
            <w:r w:rsidR="003C58CF">
              <w:rPr>
                <w:rFonts w:eastAsia="Arial"/>
                <w:sz w:val="20"/>
                <w:szCs w:val="20"/>
              </w:rPr>
              <w:t>antagonist</w:t>
            </w:r>
            <w:r w:rsidR="00F70EEA">
              <w:rPr>
                <w:rFonts w:eastAsia="Arial"/>
                <w:sz w:val="20"/>
                <w:szCs w:val="20"/>
              </w:rPr>
              <w:t xml:space="preserve"> products approved</w:t>
            </w:r>
            <w:r w:rsidR="00605C50">
              <w:rPr>
                <w:rFonts w:eastAsia="Arial"/>
                <w:sz w:val="20"/>
                <w:szCs w:val="20"/>
              </w:rPr>
              <w:t xml:space="preserve"> only</w:t>
            </w:r>
            <w:r w:rsidR="00F70EEA">
              <w:rPr>
                <w:rFonts w:eastAsia="Arial"/>
                <w:sz w:val="20"/>
                <w:szCs w:val="20"/>
              </w:rPr>
              <w:t xml:space="preserve"> for the treatment of </w:t>
            </w:r>
            <w:r w:rsidR="00232D4B">
              <w:rPr>
                <w:rFonts w:eastAsia="Arial"/>
                <w:sz w:val="20"/>
                <w:szCs w:val="20"/>
              </w:rPr>
              <w:t>anti-</w:t>
            </w:r>
            <w:proofErr w:type="spellStart"/>
            <w:r w:rsidR="00F70EEA">
              <w:rPr>
                <w:rFonts w:eastAsia="Arial"/>
                <w:sz w:val="20"/>
                <w:szCs w:val="20"/>
              </w:rPr>
              <w:t>AChR</w:t>
            </w:r>
            <w:proofErr w:type="spellEnd"/>
            <w:r w:rsidR="00F70EEA">
              <w:rPr>
                <w:rFonts w:eastAsia="Arial"/>
                <w:sz w:val="20"/>
                <w:szCs w:val="20"/>
              </w:rPr>
              <w:t xml:space="preserve"> </w:t>
            </w:r>
            <w:r w:rsidR="00FD4DD4">
              <w:rPr>
                <w:rFonts w:eastAsia="Arial"/>
                <w:sz w:val="20"/>
                <w:szCs w:val="20"/>
              </w:rPr>
              <w:t>Ab+</w:t>
            </w:r>
            <w:r w:rsidR="00F70EEA">
              <w:rPr>
                <w:rFonts w:eastAsia="Arial"/>
                <w:sz w:val="20"/>
                <w:szCs w:val="20"/>
              </w:rPr>
              <w:t xml:space="preserve"> </w:t>
            </w:r>
            <w:proofErr w:type="spellStart"/>
            <w:r w:rsidR="00F70EEA">
              <w:rPr>
                <w:rFonts w:eastAsia="Arial"/>
                <w:sz w:val="20"/>
                <w:szCs w:val="20"/>
              </w:rPr>
              <w:t>gMG</w:t>
            </w:r>
            <w:proofErr w:type="spellEnd"/>
            <w:r w:rsidR="00F70EEA">
              <w:rPr>
                <w:rFonts w:eastAsia="Arial"/>
                <w:sz w:val="20"/>
                <w:szCs w:val="20"/>
              </w:rPr>
              <w:t>.</w:t>
            </w:r>
          </w:p>
          <w:p w14:paraId="22A5AE1D" w14:textId="5AB6B12B" w:rsidR="008527CB" w:rsidRPr="00C274FC" w:rsidRDefault="00B7440D" w:rsidP="00605C50">
            <w:pPr>
              <w:pStyle w:val="NoSpacing"/>
              <w:numPr>
                <w:ilvl w:val="2"/>
                <w:numId w:val="37"/>
              </w:numPr>
              <w:rPr>
                <w:rFonts w:eastAsia="Arial"/>
                <w:sz w:val="20"/>
                <w:szCs w:val="20"/>
              </w:rPr>
            </w:pPr>
            <w:r>
              <w:rPr>
                <w:rFonts w:eastAsia="Arial"/>
                <w:sz w:val="20"/>
                <w:szCs w:val="20"/>
              </w:rPr>
              <w:t xml:space="preserve">In </w:t>
            </w:r>
            <w:proofErr w:type="spellStart"/>
            <w:r w:rsidR="008527CB" w:rsidRPr="008527CB">
              <w:rPr>
                <w:rFonts w:eastAsia="Arial"/>
                <w:sz w:val="20"/>
                <w:szCs w:val="20"/>
              </w:rPr>
              <w:t>Vyvgart</w:t>
            </w:r>
            <w:r>
              <w:rPr>
                <w:rFonts w:eastAsia="Arial"/>
                <w:sz w:val="20"/>
                <w:szCs w:val="20"/>
              </w:rPr>
              <w:t>’s</w:t>
            </w:r>
            <w:proofErr w:type="spellEnd"/>
            <w:r>
              <w:rPr>
                <w:rFonts w:eastAsia="Arial"/>
                <w:sz w:val="20"/>
                <w:szCs w:val="20"/>
              </w:rPr>
              <w:t xml:space="preserve"> clinical trial (ADAPT)</w:t>
            </w:r>
            <w:r w:rsidR="006D1930">
              <w:rPr>
                <w:rFonts w:eastAsia="Arial"/>
                <w:sz w:val="20"/>
                <w:szCs w:val="20"/>
              </w:rPr>
              <w:t>, patients with anti-</w:t>
            </w:r>
            <w:proofErr w:type="spellStart"/>
            <w:r w:rsidR="006D1930">
              <w:rPr>
                <w:rFonts w:eastAsia="Arial"/>
                <w:sz w:val="20"/>
                <w:szCs w:val="20"/>
              </w:rPr>
              <w:t>MusK</w:t>
            </w:r>
            <w:proofErr w:type="spellEnd"/>
            <w:r w:rsidR="006D1930">
              <w:rPr>
                <w:rFonts w:eastAsia="Arial"/>
                <w:sz w:val="20"/>
                <w:szCs w:val="20"/>
              </w:rPr>
              <w:t xml:space="preserve"> </w:t>
            </w:r>
            <w:r w:rsidR="00514D6A">
              <w:rPr>
                <w:rFonts w:eastAsia="Arial"/>
                <w:sz w:val="20"/>
                <w:szCs w:val="20"/>
              </w:rPr>
              <w:t xml:space="preserve">Ab+ </w:t>
            </w:r>
            <w:proofErr w:type="spellStart"/>
            <w:r w:rsidR="002F6B2C">
              <w:rPr>
                <w:rFonts w:eastAsia="Arial"/>
                <w:sz w:val="20"/>
                <w:szCs w:val="20"/>
              </w:rPr>
              <w:t>gMG</w:t>
            </w:r>
            <w:proofErr w:type="spellEnd"/>
            <w:r w:rsidR="00605C50">
              <w:rPr>
                <w:rFonts w:eastAsia="Arial"/>
                <w:sz w:val="20"/>
                <w:szCs w:val="20"/>
              </w:rPr>
              <w:t xml:space="preserve"> were included and showed MG-ADL response in Cycle 1.</w:t>
            </w:r>
          </w:p>
          <w:p w14:paraId="3E743EB7" w14:textId="72B89D2A" w:rsidR="00406C34" w:rsidRPr="00DB3FEE" w:rsidRDefault="004B1957" w:rsidP="00DB3FEE">
            <w:pPr>
              <w:pStyle w:val="NoSpacing"/>
              <w:numPr>
                <w:ilvl w:val="1"/>
                <w:numId w:val="37"/>
              </w:numPr>
              <w:rPr>
                <w:rFonts w:eastAsia="Arial"/>
                <w:sz w:val="20"/>
                <w:szCs w:val="20"/>
              </w:rPr>
            </w:pPr>
            <w:proofErr w:type="spellStart"/>
            <w:r w:rsidRPr="004B1957">
              <w:rPr>
                <w:rFonts w:eastAsia="Arial"/>
                <w:sz w:val="20"/>
                <w:szCs w:val="20"/>
              </w:rPr>
              <w:t>Rystiggo</w:t>
            </w:r>
            <w:proofErr w:type="spellEnd"/>
            <w:r w:rsidRPr="004B1957">
              <w:rPr>
                <w:rFonts w:eastAsia="Arial"/>
                <w:sz w:val="20"/>
                <w:szCs w:val="20"/>
              </w:rPr>
              <w:t xml:space="preserve"> </w:t>
            </w:r>
            <w:r>
              <w:rPr>
                <w:rFonts w:eastAsia="Arial"/>
                <w:sz w:val="20"/>
                <w:szCs w:val="20"/>
              </w:rPr>
              <w:t xml:space="preserve">and </w:t>
            </w:r>
            <w:proofErr w:type="spellStart"/>
            <w:r w:rsidRPr="004B1957">
              <w:rPr>
                <w:rFonts w:eastAsia="Arial"/>
                <w:sz w:val="20"/>
                <w:szCs w:val="20"/>
              </w:rPr>
              <w:t>Vyvgart</w:t>
            </w:r>
            <w:proofErr w:type="spellEnd"/>
            <w:r w:rsidRPr="004B1957">
              <w:rPr>
                <w:rFonts w:eastAsia="Arial"/>
                <w:sz w:val="20"/>
                <w:szCs w:val="20"/>
              </w:rPr>
              <w:t xml:space="preserve"> have not been studied head-to-head, and these drugs had different primary endpoints in pivotal trials, making cross-trial comparisons difficult</w:t>
            </w:r>
            <w:r>
              <w:rPr>
                <w:rFonts w:eastAsia="Arial"/>
                <w:sz w:val="20"/>
                <w:szCs w:val="20"/>
              </w:rPr>
              <w:t>.</w:t>
            </w:r>
            <w:r w:rsidR="00F70EEA">
              <w:rPr>
                <w:rFonts w:eastAsia="Arial"/>
                <w:sz w:val="20"/>
                <w:szCs w:val="20"/>
              </w:rPr>
              <w:t xml:space="preserve"> </w:t>
            </w:r>
          </w:p>
          <w:p w14:paraId="726B9F65" w14:textId="77777777" w:rsidR="00891CDE" w:rsidRDefault="00891CDE" w:rsidP="00891CDE">
            <w:pPr>
              <w:pStyle w:val="NoSpacing"/>
              <w:ind w:left="360"/>
              <w:rPr>
                <w:rFonts w:eastAsia="Arial"/>
                <w:sz w:val="20"/>
                <w:szCs w:val="20"/>
              </w:rPr>
            </w:pPr>
          </w:p>
          <w:p w14:paraId="0B792969" w14:textId="664CC131" w:rsidR="00891CDE" w:rsidRPr="00891CDE" w:rsidRDefault="00891CDE" w:rsidP="00891CDE">
            <w:pPr>
              <w:pStyle w:val="NoSpacing"/>
              <w:rPr>
                <w:rFonts w:eastAsia="Arial"/>
                <w:sz w:val="20"/>
                <w:szCs w:val="20"/>
                <w:u w:val="single"/>
              </w:rPr>
            </w:pPr>
            <w:r>
              <w:rPr>
                <w:rFonts w:eastAsia="Arial"/>
                <w:sz w:val="20"/>
                <w:szCs w:val="20"/>
                <w:u w:val="single"/>
              </w:rPr>
              <w:t>Compliment Inhibitors</w:t>
            </w:r>
          </w:p>
          <w:p w14:paraId="6DF961BB" w14:textId="3AEA395B" w:rsidR="00CF7188" w:rsidRDefault="008639D8" w:rsidP="008C6144">
            <w:pPr>
              <w:pStyle w:val="NoSpacing"/>
              <w:numPr>
                <w:ilvl w:val="0"/>
                <w:numId w:val="37"/>
              </w:numPr>
              <w:rPr>
                <w:rFonts w:eastAsia="Arial"/>
                <w:sz w:val="20"/>
                <w:szCs w:val="20"/>
              </w:rPr>
            </w:pPr>
            <w:r w:rsidRPr="008639D8">
              <w:rPr>
                <w:rFonts w:eastAsia="Arial"/>
                <w:sz w:val="20"/>
                <w:szCs w:val="20"/>
              </w:rPr>
              <w:t xml:space="preserve">Soliris and </w:t>
            </w:r>
            <w:proofErr w:type="spellStart"/>
            <w:r w:rsidRPr="008639D8">
              <w:rPr>
                <w:rFonts w:eastAsia="Arial"/>
                <w:sz w:val="20"/>
                <w:szCs w:val="20"/>
              </w:rPr>
              <w:t>Ultomiris</w:t>
            </w:r>
            <w:proofErr w:type="spellEnd"/>
            <w:r w:rsidRPr="008639D8">
              <w:rPr>
                <w:rFonts w:eastAsia="Arial"/>
                <w:sz w:val="20"/>
                <w:szCs w:val="20"/>
              </w:rPr>
              <w:t xml:space="preserve"> are both approved for the treatment of patients with anti-</w:t>
            </w:r>
            <w:proofErr w:type="spellStart"/>
            <w:r w:rsidRPr="008639D8">
              <w:rPr>
                <w:rFonts w:eastAsia="Arial"/>
                <w:sz w:val="20"/>
                <w:szCs w:val="20"/>
              </w:rPr>
              <w:t>AChR</w:t>
            </w:r>
            <w:proofErr w:type="spellEnd"/>
            <w:r w:rsidRPr="008639D8">
              <w:rPr>
                <w:rFonts w:eastAsia="Arial"/>
                <w:sz w:val="20"/>
                <w:szCs w:val="20"/>
              </w:rPr>
              <w:t xml:space="preserve"> </w:t>
            </w:r>
            <w:r w:rsidR="00FD4DD4">
              <w:rPr>
                <w:rFonts w:eastAsia="Arial"/>
                <w:sz w:val="20"/>
                <w:szCs w:val="20"/>
              </w:rPr>
              <w:t>Ab+</w:t>
            </w:r>
            <w:r w:rsidRPr="008639D8">
              <w:rPr>
                <w:rFonts w:eastAsia="Arial"/>
                <w:sz w:val="20"/>
                <w:szCs w:val="20"/>
              </w:rPr>
              <w:t xml:space="preserve"> </w:t>
            </w:r>
            <w:proofErr w:type="spellStart"/>
            <w:r w:rsidRPr="008639D8">
              <w:rPr>
                <w:rFonts w:eastAsia="Arial"/>
                <w:sz w:val="20"/>
                <w:szCs w:val="20"/>
              </w:rPr>
              <w:t>gMG</w:t>
            </w:r>
            <w:proofErr w:type="spellEnd"/>
            <w:r w:rsidRPr="008639D8">
              <w:rPr>
                <w:rFonts w:eastAsia="Arial"/>
                <w:sz w:val="20"/>
                <w:szCs w:val="20"/>
              </w:rPr>
              <w:t xml:space="preserve">. </w:t>
            </w:r>
          </w:p>
          <w:p w14:paraId="62D1B846" w14:textId="77777777" w:rsidR="00CF7188" w:rsidRDefault="00CF7188" w:rsidP="00CF7188">
            <w:pPr>
              <w:pStyle w:val="NoSpacing"/>
              <w:numPr>
                <w:ilvl w:val="1"/>
                <w:numId w:val="37"/>
              </w:numPr>
              <w:rPr>
                <w:rFonts w:eastAsia="Arial"/>
                <w:sz w:val="20"/>
                <w:szCs w:val="20"/>
              </w:rPr>
            </w:pPr>
            <w:r>
              <w:rPr>
                <w:rFonts w:eastAsia="Arial"/>
                <w:sz w:val="20"/>
                <w:szCs w:val="20"/>
              </w:rPr>
              <w:t xml:space="preserve">Both </w:t>
            </w:r>
            <w:r w:rsidR="008639D8" w:rsidRPr="008639D8">
              <w:rPr>
                <w:rFonts w:eastAsia="Arial"/>
                <w:sz w:val="20"/>
                <w:szCs w:val="20"/>
              </w:rPr>
              <w:t xml:space="preserve">Soliris and </w:t>
            </w:r>
            <w:proofErr w:type="spellStart"/>
            <w:r w:rsidR="008639D8" w:rsidRPr="008639D8">
              <w:rPr>
                <w:rFonts w:eastAsia="Arial"/>
                <w:sz w:val="20"/>
                <w:szCs w:val="20"/>
              </w:rPr>
              <w:t>Ultomiris</w:t>
            </w:r>
            <w:proofErr w:type="spellEnd"/>
            <w:r w:rsidR="008639D8" w:rsidRPr="008639D8">
              <w:rPr>
                <w:rFonts w:eastAsia="Arial"/>
                <w:sz w:val="20"/>
                <w:szCs w:val="20"/>
              </w:rPr>
              <w:t xml:space="preserve"> have a Boxed Warning for serious meningococcal infection. </w:t>
            </w:r>
          </w:p>
          <w:p w14:paraId="7A24F9FC" w14:textId="13273966" w:rsidR="008C6144" w:rsidRDefault="008639D8" w:rsidP="00CF7188">
            <w:pPr>
              <w:pStyle w:val="NoSpacing"/>
              <w:numPr>
                <w:ilvl w:val="1"/>
                <w:numId w:val="37"/>
              </w:numPr>
              <w:rPr>
                <w:rFonts w:eastAsia="Arial"/>
                <w:sz w:val="20"/>
                <w:szCs w:val="20"/>
              </w:rPr>
            </w:pPr>
            <w:r w:rsidRPr="008639D8">
              <w:rPr>
                <w:rFonts w:eastAsia="Arial"/>
                <w:sz w:val="20"/>
                <w:szCs w:val="20"/>
              </w:rPr>
              <w:t xml:space="preserve">While </w:t>
            </w:r>
            <w:proofErr w:type="spellStart"/>
            <w:r w:rsidRPr="008639D8">
              <w:rPr>
                <w:rFonts w:eastAsia="Arial"/>
                <w:sz w:val="20"/>
                <w:szCs w:val="20"/>
              </w:rPr>
              <w:t>FcRn</w:t>
            </w:r>
            <w:proofErr w:type="spellEnd"/>
            <w:r w:rsidRPr="008639D8">
              <w:rPr>
                <w:rFonts w:eastAsia="Arial"/>
                <w:sz w:val="20"/>
                <w:szCs w:val="20"/>
              </w:rPr>
              <w:t xml:space="preserve"> antagonists are viewed as safer than complement inhibitors, given that they do not have Boxed Warnings, prescribers are aware of how to manage the risks of administering complement inhibitors and patients who are receiving complement inhibitors to good effect would not likely switch to an </w:t>
            </w:r>
            <w:proofErr w:type="spellStart"/>
            <w:r w:rsidRPr="008639D8">
              <w:rPr>
                <w:rFonts w:eastAsia="Arial"/>
                <w:sz w:val="20"/>
                <w:szCs w:val="20"/>
              </w:rPr>
              <w:t>FcRn</w:t>
            </w:r>
            <w:proofErr w:type="spellEnd"/>
            <w:r w:rsidRPr="008639D8">
              <w:rPr>
                <w:rFonts w:eastAsia="Arial"/>
                <w:sz w:val="20"/>
                <w:szCs w:val="20"/>
              </w:rPr>
              <w:t xml:space="preserve"> antagonist.</w:t>
            </w:r>
          </w:p>
          <w:p w14:paraId="114006EC" w14:textId="118D02EB" w:rsidR="004207DD" w:rsidRDefault="00B04FC4" w:rsidP="004207DD">
            <w:pPr>
              <w:pStyle w:val="NoSpacing"/>
              <w:numPr>
                <w:ilvl w:val="0"/>
                <w:numId w:val="37"/>
              </w:numPr>
              <w:rPr>
                <w:rFonts w:eastAsia="Arial"/>
                <w:sz w:val="20"/>
                <w:szCs w:val="20"/>
              </w:rPr>
            </w:pPr>
            <w:r>
              <w:rPr>
                <w:rFonts w:eastAsia="Arial"/>
                <w:sz w:val="20"/>
                <w:szCs w:val="20"/>
              </w:rPr>
              <w:t>T</w:t>
            </w:r>
            <w:r w:rsidRPr="00B04FC4">
              <w:rPr>
                <w:rFonts w:eastAsia="Arial"/>
                <w:sz w:val="20"/>
                <w:szCs w:val="20"/>
              </w:rPr>
              <w:t xml:space="preserve">here are no studies that have investigated </w:t>
            </w:r>
            <w:proofErr w:type="gramStart"/>
            <w:r w:rsidRPr="00B04FC4">
              <w:rPr>
                <w:rFonts w:eastAsia="Arial"/>
                <w:sz w:val="20"/>
                <w:szCs w:val="20"/>
              </w:rPr>
              <w:t>use</w:t>
            </w:r>
            <w:proofErr w:type="gramEnd"/>
            <w:r w:rsidRPr="00B04FC4">
              <w:rPr>
                <w:rFonts w:eastAsia="Arial"/>
                <w:sz w:val="20"/>
                <w:szCs w:val="20"/>
              </w:rPr>
              <w:t xml:space="preserve"> of combination therapy of </w:t>
            </w:r>
            <w:proofErr w:type="spellStart"/>
            <w:r w:rsidRPr="00B04FC4">
              <w:rPr>
                <w:rFonts w:eastAsia="Arial"/>
                <w:sz w:val="20"/>
                <w:szCs w:val="20"/>
              </w:rPr>
              <w:t>FcRn</w:t>
            </w:r>
            <w:proofErr w:type="spellEnd"/>
            <w:r w:rsidRPr="00B04FC4">
              <w:rPr>
                <w:rFonts w:eastAsia="Arial"/>
                <w:sz w:val="20"/>
                <w:szCs w:val="20"/>
              </w:rPr>
              <w:t xml:space="preserve"> antagonists and complement inhibitors for the treatment of </w:t>
            </w:r>
            <w:proofErr w:type="spellStart"/>
            <w:r w:rsidRPr="00B04FC4">
              <w:rPr>
                <w:rFonts w:eastAsia="Arial"/>
                <w:sz w:val="20"/>
                <w:szCs w:val="20"/>
              </w:rPr>
              <w:t>gMG</w:t>
            </w:r>
            <w:proofErr w:type="spellEnd"/>
            <w:r w:rsidRPr="00B04FC4">
              <w:rPr>
                <w:rFonts w:eastAsia="Arial"/>
                <w:sz w:val="20"/>
                <w:szCs w:val="20"/>
              </w:rPr>
              <w:t>.</w:t>
            </w:r>
          </w:p>
          <w:p w14:paraId="4698D33B" w14:textId="77777777" w:rsidR="00092542" w:rsidRDefault="00092542" w:rsidP="00092542">
            <w:pPr>
              <w:pStyle w:val="NoSpacing"/>
              <w:rPr>
                <w:rFonts w:eastAsia="Arial"/>
                <w:sz w:val="20"/>
                <w:szCs w:val="20"/>
              </w:rPr>
            </w:pPr>
          </w:p>
          <w:tbl>
            <w:tblPr>
              <w:tblStyle w:val="TableGrid"/>
              <w:tblW w:w="8185" w:type="dxa"/>
              <w:tblLayout w:type="fixed"/>
              <w:tblLook w:val="04A0" w:firstRow="1" w:lastRow="0" w:firstColumn="1" w:lastColumn="0" w:noHBand="0" w:noVBand="1"/>
            </w:tblPr>
            <w:tblGrid>
              <w:gridCol w:w="1481"/>
              <w:gridCol w:w="1193"/>
              <w:gridCol w:w="1725"/>
              <w:gridCol w:w="1271"/>
              <w:gridCol w:w="1271"/>
              <w:gridCol w:w="1244"/>
            </w:tblGrid>
            <w:tr w:rsidR="00F63D8F" w:rsidRPr="0049401D" w14:paraId="3EF4538B" w14:textId="76559700" w:rsidTr="002A4AEB">
              <w:trPr>
                <w:trHeight w:val="378"/>
              </w:trPr>
              <w:tc>
                <w:tcPr>
                  <w:tcW w:w="1481" w:type="dxa"/>
                  <w:shd w:val="clear" w:color="auto" w:fill="FABF8F" w:themeFill="accent6" w:themeFillTint="99"/>
                </w:tcPr>
                <w:p w14:paraId="6BDB8238" w14:textId="6BE706E4"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Drug</w:t>
                  </w:r>
                </w:p>
              </w:tc>
              <w:tc>
                <w:tcPr>
                  <w:tcW w:w="1193" w:type="dxa"/>
                  <w:shd w:val="clear" w:color="auto" w:fill="FABF8F" w:themeFill="accent6" w:themeFillTint="99"/>
                </w:tcPr>
                <w:p w14:paraId="5757DD8B" w14:textId="2467C847"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b/>
                      <w:bCs/>
                      <w:sz w:val="18"/>
                      <w:szCs w:val="18"/>
                    </w:rPr>
                    <w:t xml:space="preserve">FDA-Approved Indication </w:t>
                  </w:r>
                </w:p>
              </w:tc>
              <w:tc>
                <w:tcPr>
                  <w:tcW w:w="1725" w:type="dxa"/>
                  <w:shd w:val="clear" w:color="auto" w:fill="FABF8F" w:themeFill="accent6" w:themeFillTint="99"/>
                </w:tcPr>
                <w:p w14:paraId="4A5B1AE8" w14:textId="25813D1D"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ROA, Administration Time</w:t>
                  </w:r>
                </w:p>
              </w:tc>
              <w:tc>
                <w:tcPr>
                  <w:tcW w:w="1271" w:type="dxa"/>
                  <w:shd w:val="clear" w:color="auto" w:fill="FABF8F" w:themeFill="accent6" w:themeFillTint="99"/>
                </w:tcPr>
                <w:p w14:paraId="173A9F0C" w14:textId="556DDEB9"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Monitoring Time</w:t>
                  </w:r>
                </w:p>
              </w:tc>
              <w:tc>
                <w:tcPr>
                  <w:tcW w:w="1271" w:type="dxa"/>
                  <w:shd w:val="clear" w:color="auto" w:fill="FABF8F" w:themeFill="accent6" w:themeFillTint="99"/>
                </w:tcPr>
                <w:p w14:paraId="5CB71DCD" w14:textId="7E8B35E0"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Dosing Frequency</w:t>
                  </w:r>
                </w:p>
              </w:tc>
              <w:tc>
                <w:tcPr>
                  <w:tcW w:w="1244" w:type="dxa"/>
                  <w:shd w:val="clear" w:color="auto" w:fill="FABF8F" w:themeFill="accent6" w:themeFillTint="99"/>
                </w:tcPr>
                <w:p w14:paraId="4C8EC459" w14:textId="1FD489C9" w:rsidR="00C07D83" w:rsidRPr="002A4AEB" w:rsidRDefault="00C07D83"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Estimated Annual WAC</w:t>
                  </w:r>
                </w:p>
              </w:tc>
            </w:tr>
            <w:tr w:rsidR="000A528D" w:rsidRPr="0049401D" w14:paraId="051FEEC4" w14:textId="77777777" w:rsidTr="009977D8">
              <w:trPr>
                <w:trHeight w:val="378"/>
              </w:trPr>
              <w:tc>
                <w:tcPr>
                  <w:tcW w:w="8185" w:type="dxa"/>
                  <w:gridSpan w:val="6"/>
                </w:tcPr>
                <w:p w14:paraId="44622B32" w14:textId="576666E5" w:rsidR="000A528D" w:rsidRPr="002A4AEB" w:rsidRDefault="00F13FE0" w:rsidP="0063183B">
                  <w:pPr>
                    <w:pStyle w:val="ListParagraph"/>
                    <w:spacing w:after="0" w:line="240" w:lineRule="auto"/>
                    <w:ind w:left="0"/>
                    <w:jc w:val="center"/>
                    <w:rPr>
                      <w:rFonts w:ascii="Arial" w:eastAsia="Arial" w:hAnsi="Arial" w:cs="Arial"/>
                      <w:b/>
                      <w:bCs/>
                      <w:sz w:val="18"/>
                      <w:szCs w:val="18"/>
                    </w:rPr>
                  </w:pPr>
                  <w:proofErr w:type="spellStart"/>
                  <w:r w:rsidRPr="002A4AEB">
                    <w:rPr>
                      <w:rFonts w:ascii="Arial" w:eastAsia="Arial" w:hAnsi="Arial" w:cs="Arial"/>
                      <w:b/>
                      <w:bCs/>
                      <w:sz w:val="18"/>
                      <w:szCs w:val="18"/>
                    </w:rPr>
                    <w:t>FcRn</w:t>
                  </w:r>
                  <w:proofErr w:type="spellEnd"/>
                  <w:r w:rsidRPr="002A4AEB">
                    <w:rPr>
                      <w:rFonts w:ascii="Arial" w:eastAsia="Arial" w:hAnsi="Arial" w:cs="Arial"/>
                      <w:b/>
                      <w:bCs/>
                      <w:sz w:val="18"/>
                      <w:szCs w:val="18"/>
                    </w:rPr>
                    <w:t xml:space="preserve"> Antagonists </w:t>
                  </w:r>
                </w:p>
              </w:tc>
            </w:tr>
            <w:tr w:rsidR="00C07D83" w:rsidRPr="0049401D" w14:paraId="784154CF" w14:textId="2DC9AF6F" w:rsidTr="002A4AEB">
              <w:trPr>
                <w:trHeight w:val="378"/>
              </w:trPr>
              <w:tc>
                <w:tcPr>
                  <w:tcW w:w="1481" w:type="dxa"/>
                </w:tcPr>
                <w:p w14:paraId="630596FF" w14:textId="0190B25D" w:rsidR="00C07D83" w:rsidRPr="00544ECC" w:rsidRDefault="007C43BE" w:rsidP="0063183B">
                  <w:pPr>
                    <w:pStyle w:val="ListParagraph"/>
                    <w:spacing w:after="0" w:line="240" w:lineRule="auto"/>
                    <w:ind w:left="0"/>
                    <w:jc w:val="center"/>
                    <w:rPr>
                      <w:rFonts w:ascii="Arial" w:eastAsia="Arial" w:hAnsi="Arial" w:cs="Arial"/>
                      <w:sz w:val="16"/>
                      <w:szCs w:val="16"/>
                    </w:rPr>
                  </w:pPr>
                  <w:proofErr w:type="spellStart"/>
                  <w:r w:rsidRPr="00544ECC">
                    <w:rPr>
                      <w:rFonts w:ascii="Arial" w:eastAsia="Arial" w:hAnsi="Arial" w:cs="Arial"/>
                      <w:sz w:val="16"/>
                      <w:szCs w:val="16"/>
                    </w:rPr>
                    <w:t>Vyvgart</w:t>
                  </w:r>
                  <w:proofErr w:type="spellEnd"/>
                  <w:r w:rsidRPr="00544ECC">
                    <w:rPr>
                      <w:rFonts w:ascii="Arial" w:eastAsia="Arial" w:hAnsi="Arial" w:cs="Arial"/>
                      <w:sz w:val="16"/>
                      <w:szCs w:val="16"/>
                    </w:rPr>
                    <w:t xml:space="preserve"> </w:t>
                  </w:r>
                  <w:r w:rsidR="001B1727" w:rsidRPr="00544ECC">
                    <w:rPr>
                      <w:rFonts w:ascii="Arial" w:eastAsia="Arial" w:hAnsi="Arial" w:cs="Arial"/>
                      <w:sz w:val="16"/>
                      <w:szCs w:val="16"/>
                    </w:rPr>
                    <w:t>(</w:t>
                  </w:r>
                  <w:r w:rsidR="0027546A" w:rsidRPr="00544ECC">
                    <w:rPr>
                      <w:rFonts w:ascii="Arial" w:eastAsia="Arial" w:hAnsi="Arial" w:cs="Arial"/>
                      <w:sz w:val="16"/>
                      <w:szCs w:val="16"/>
                    </w:rPr>
                    <w:t>efgartigimod</w:t>
                  </w:r>
                  <w:r w:rsidR="00E31A19" w:rsidRPr="00544ECC">
                    <w:rPr>
                      <w:rFonts w:ascii="Arial" w:eastAsia="Arial" w:hAnsi="Arial" w:cs="Arial"/>
                      <w:sz w:val="16"/>
                      <w:szCs w:val="16"/>
                    </w:rPr>
                    <w:t xml:space="preserve"> alfa-</w:t>
                  </w:r>
                  <w:proofErr w:type="spellStart"/>
                  <w:r w:rsidR="00E31A19" w:rsidRPr="00544ECC">
                    <w:rPr>
                      <w:rFonts w:ascii="Arial" w:eastAsia="Arial" w:hAnsi="Arial" w:cs="Arial"/>
                      <w:sz w:val="16"/>
                      <w:szCs w:val="16"/>
                    </w:rPr>
                    <w:t>fcab</w:t>
                  </w:r>
                  <w:proofErr w:type="spellEnd"/>
                  <w:r w:rsidR="001B1727" w:rsidRPr="00544ECC">
                    <w:rPr>
                      <w:rFonts w:ascii="Arial" w:eastAsia="Arial" w:hAnsi="Arial" w:cs="Arial"/>
                      <w:sz w:val="16"/>
                      <w:szCs w:val="16"/>
                    </w:rPr>
                    <w:t>)</w:t>
                  </w:r>
                </w:p>
              </w:tc>
              <w:tc>
                <w:tcPr>
                  <w:tcW w:w="1193" w:type="dxa"/>
                </w:tcPr>
                <w:p w14:paraId="687E94B1" w14:textId="309D6206" w:rsidR="00C07D83" w:rsidRPr="00544ECC" w:rsidRDefault="007C43BE"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 xml:space="preserve">Adults with </w:t>
                  </w:r>
                  <w:proofErr w:type="spellStart"/>
                  <w:r w:rsidRPr="00544ECC">
                    <w:rPr>
                      <w:rFonts w:ascii="Arial" w:eastAsia="Arial" w:hAnsi="Arial" w:cs="Arial"/>
                      <w:sz w:val="16"/>
                      <w:szCs w:val="16"/>
                    </w:rPr>
                    <w:t>AChR</w:t>
                  </w:r>
                  <w:proofErr w:type="spellEnd"/>
                  <w:r w:rsidRPr="00544ECC">
                    <w:rPr>
                      <w:rFonts w:ascii="Arial" w:eastAsia="Arial" w:hAnsi="Arial" w:cs="Arial"/>
                      <w:sz w:val="16"/>
                      <w:szCs w:val="16"/>
                    </w:rPr>
                    <w:t xml:space="preserve"> Ab+ </w:t>
                  </w:r>
                  <w:proofErr w:type="spellStart"/>
                  <w:r w:rsidRPr="00544ECC">
                    <w:rPr>
                      <w:rFonts w:ascii="Arial" w:eastAsia="Arial" w:hAnsi="Arial" w:cs="Arial"/>
                      <w:sz w:val="16"/>
                      <w:szCs w:val="16"/>
                    </w:rPr>
                    <w:t>gMG</w:t>
                  </w:r>
                  <w:proofErr w:type="spellEnd"/>
                </w:p>
              </w:tc>
              <w:tc>
                <w:tcPr>
                  <w:tcW w:w="1725" w:type="dxa"/>
                </w:tcPr>
                <w:p w14:paraId="5B1B4542" w14:textId="20714768" w:rsidR="00C07D83" w:rsidRPr="00544ECC" w:rsidRDefault="007C43BE"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IV, 1 hour</w:t>
                  </w:r>
                </w:p>
              </w:tc>
              <w:tc>
                <w:tcPr>
                  <w:tcW w:w="1271" w:type="dxa"/>
                </w:tcPr>
                <w:p w14:paraId="403CD197" w14:textId="75B1A5DC" w:rsidR="00C07D83" w:rsidRPr="00544ECC" w:rsidRDefault="00B44829"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1 hour</w:t>
                  </w:r>
                </w:p>
              </w:tc>
              <w:tc>
                <w:tcPr>
                  <w:tcW w:w="1271" w:type="dxa"/>
                </w:tcPr>
                <w:p w14:paraId="21046D97" w14:textId="26DFE307" w:rsidR="00C07D83" w:rsidRPr="00544ECC" w:rsidRDefault="00B44829"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Once weekly for 4 weeks per cycle</w:t>
                  </w:r>
                </w:p>
              </w:tc>
              <w:tc>
                <w:tcPr>
                  <w:tcW w:w="1244" w:type="dxa"/>
                </w:tcPr>
                <w:p w14:paraId="2D5C11B6" w14:textId="24372718" w:rsidR="00C07D83" w:rsidRPr="00544ECC" w:rsidRDefault="003A44C5"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$242,760</w:t>
                  </w:r>
                </w:p>
              </w:tc>
            </w:tr>
            <w:tr w:rsidR="00C07D83" w:rsidRPr="0049401D" w14:paraId="1740DAAB" w14:textId="0C92FE51" w:rsidTr="002A4AEB">
              <w:trPr>
                <w:trHeight w:val="378"/>
              </w:trPr>
              <w:tc>
                <w:tcPr>
                  <w:tcW w:w="1481" w:type="dxa"/>
                </w:tcPr>
                <w:p w14:paraId="7D5F89EC" w14:textId="365736E3" w:rsidR="00C07D83" w:rsidRPr="00544ECC" w:rsidRDefault="0027786D" w:rsidP="0063183B">
                  <w:pPr>
                    <w:pStyle w:val="ListParagraph"/>
                    <w:spacing w:after="0" w:line="240" w:lineRule="auto"/>
                    <w:ind w:left="0"/>
                    <w:jc w:val="center"/>
                    <w:rPr>
                      <w:rFonts w:ascii="Arial" w:eastAsia="Arial" w:hAnsi="Arial" w:cs="Arial"/>
                      <w:sz w:val="16"/>
                      <w:szCs w:val="16"/>
                    </w:rPr>
                  </w:pPr>
                  <w:proofErr w:type="spellStart"/>
                  <w:r w:rsidRPr="00544ECC">
                    <w:rPr>
                      <w:rFonts w:ascii="Arial" w:eastAsia="Arial" w:hAnsi="Arial" w:cs="Arial"/>
                      <w:sz w:val="16"/>
                      <w:szCs w:val="16"/>
                    </w:rPr>
                    <w:t>Vyvgart</w:t>
                  </w:r>
                  <w:proofErr w:type="spellEnd"/>
                  <w:r w:rsidRPr="00544ECC">
                    <w:rPr>
                      <w:rFonts w:ascii="Arial" w:eastAsia="Arial" w:hAnsi="Arial" w:cs="Arial"/>
                      <w:sz w:val="16"/>
                      <w:szCs w:val="16"/>
                    </w:rPr>
                    <w:t xml:space="preserve"> </w:t>
                  </w:r>
                  <w:proofErr w:type="spellStart"/>
                  <w:r w:rsidRPr="00544ECC">
                    <w:rPr>
                      <w:rFonts w:ascii="Arial" w:eastAsia="Arial" w:hAnsi="Arial" w:cs="Arial"/>
                      <w:sz w:val="16"/>
                      <w:szCs w:val="16"/>
                    </w:rPr>
                    <w:t>Hytrulo</w:t>
                  </w:r>
                  <w:proofErr w:type="spellEnd"/>
                  <w:r w:rsidRPr="00544ECC">
                    <w:rPr>
                      <w:rFonts w:ascii="Arial" w:eastAsia="Arial" w:hAnsi="Arial" w:cs="Arial"/>
                      <w:sz w:val="16"/>
                      <w:szCs w:val="16"/>
                    </w:rPr>
                    <w:t xml:space="preserve"> </w:t>
                  </w:r>
                  <w:r w:rsidR="00496910" w:rsidRPr="00544ECC">
                    <w:rPr>
                      <w:rFonts w:ascii="Arial" w:eastAsia="Arial" w:hAnsi="Arial" w:cs="Arial"/>
                      <w:sz w:val="16"/>
                      <w:szCs w:val="16"/>
                    </w:rPr>
                    <w:t>(</w:t>
                  </w:r>
                  <w:r w:rsidR="00BB3D1B" w:rsidRPr="00544ECC">
                    <w:rPr>
                      <w:rFonts w:ascii="Arial" w:eastAsia="Arial" w:hAnsi="Arial" w:cs="Arial"/>
                      <w:sz w:val="16"/>
                      <w:szCs w:val="16"/>
                    </w:rPr>
                    <w:t>efgartigimod alfa &amp; hyaluronidase-</w:t>
                  </w:r>
                  <w:proofErr w:type="spellStart"/>
                  <w:r w:rsidR="00BB3D1B" w:rsidRPr="00544ECC">
                    <w:rPr>
                      <w:rFonts w:ascii="Arial" w:eastAsia="Arial" w:hAnsi="Arial" w:cs="Arial"/>
                      <w:sz w:val="16"/>
                      <w:szCs w:val="16"/>
                    </w:rPr>
                    <w:t>qvfc</w:t>
                  </w:r>
                  <w:proofErr w:type="spellEnd"/>
                  <w:r w:rsidR="00496910" w:rsidRPr="00544ECC">
                    <w:rPr>
                      <w:rFonts w:ascii="Arial" w:eastAsia="Arial" w:hAnsi="Arial" w:cs="Arial"/>
                      <w:sz w:val="16"/>
                      <w:szCs w:val="16"/>
                    </w:rPr>
                    <w:t>)</w:t>
                  </w:r>
                </w:p>
              </w:tc>
              <w:tc>
                <w:tcPr>
                  <w:tcW w:w="1193" w:type="dxa"/>
                </w:tcPr>
                <w:p w14:paraId="553B2555" w14:textId="0CD52A9F" w:rsidR="00C07D83" w:rsidRPr="00544ECC" w:rsidRDefault="00BB733A"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 xml:space="preserve">Adults with </w:t>
                  </w:r>
                  <w:proofErr w:type="spellStart"/>
                  <w:r w:rsidRPr="00544ECC">
                    <w:rPr>
                      <w:rFonts w:ascii="Arial" w:eastAsia="Arial" w:hAnsi="Arial" w:cs="Arial"/>
                      <w:sz w:val="16"/>
                      <w:szCs w:val="16"/>
                    </w:rPr>
                    <w:t>AChR</w:t>
                  </w:r>
                  <w:proofErr w:type="spellEnd"/>
                  <w:r w:rsidRPr="00544ECC">
                    <w:rPr>
                      <w:rFonts w:ascii="Arial" w:eastAsia="Arial" w:hAnsi="Arial" w:cs="Arial"/>
                      <w:sz w:val="16"/>
                      <w:szCs w:val="16"/>
                    </w:rPr>
                    <w:t xml:space="preserve"> Ab+ </w:t>
                  </w:r>
                  <w:proofErr w:type="spellStart"/>
                  <w:r w:rsidRPr="00544ECC">
                    <w:rPr>
                      <w:rFonts w:ascii="Arial" w:eastAsia="Arial" w:hAnsi="Arial" w:cs="Arial"/>
                      <w:sz w:val="16"/>
                      <w:szCs w:val="16"/>
                    </w:rPr>
                    <w:t>gMG</w:t>
                  </w:r>
                  <w:proofErr w:type="spellEnd"/>
                </w:p>
              </w:tc>
              <w:tc>
                <w:tcPr>
                  <w:tcW w:w="1725" w:type="dxa"/>
                </w:tcPr>
                <w:p w14:paraId="59141ECB" w14:textId="5075B79C" w:rsidR="00C07D83" w:rsidRPr="00544ECC" w:rsidRDefault="00F11152"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SC injection, 30–90 seconds</w:t>
                  </w:r>
                </w:p>
              </w:tc>
              <w:tc>
                <w:tcPr>
                  <w:tcW w:w="1271" w:type="dxa"/>
                </w:tcPr>
                <w:p w14:paraId="73EE47AE" w14:textId="56F8AF53" w:rsidR="00C07D83" w:rsidRPr="00544ECC" w:rsidRDefault="00F11152" w:rsidP="0063183B">
                  <w:pPr>
                    <w:pStyle w:val="ListParagraph"/>
                    <w:spacing w:after="0" w:line="240" w:lineRule="auto"/>
                    <w:ind w:left="0"/>
                    <w:jc w:val="center"/>
                    <w:rPr>
                      <w:rFonts w:ascii="Arial" w:eastAsia="Arial" w:hAnsi="Arial" w:cs="Arial"/>
                      <w:sz w:val="16"/>
                      <w:szCs w:val="16"/>
                    </w:rPr>
                  </w:pPr>
                  <w:r w:rsidRPr="00544ECC">
                    <w:rPr>
                      <w:rFonts w:ascii="Arial" w:eastAsia="Arial" w:hAnsi="Arial" w:cs="Arial"/>
                      <w:sz w:val="16"/>
                      <w:szCs w:val="16"/>
                    </w:rPr>
                    <w:t>30 minutes</w:t>
                  </w:r>
                </w:p>
              </w:tc>
              <w:tc>
                <w:tcPr>
                  <w:tcW w:w="1271" w:type="dxa"/>
                </w:tcPr>
                <w:p w14:paraId="141251A8" w14:textId="0FB6E4ED" w:rsidR="00C07D83" w:rsidRPr="00544ECC" w:rsidRDefault="00F11152" w:rsidP="0063183B">
                  <w:pPr>
                    <w:pStyle w:val="ListParagraph"/>
                    <w:spacing w:after="0" w:line="240" w:lineRule="auto"/>
                    <w:ind w:left="0"/>
                    <w:jc w:val="center"/>
                    <w:rPr>
                      <w:rFonts w:ascii="Arial" w:hAnsi="Arial" w:cs="Arial"/>
                      <w:sz w:val="16"/>
                      <w:szCs w:val="16"/>
                    </w:rPr>
                  </w:pPr>
                  <w:r w:rsidRPr="00544ECC">
                    <w:rPr>
                      <w:rFonts w:ascii="Arial" w:hAnsi="Arial" w:cs="Arial"/>
                      <w:sz w:val="16"/>
                      <w:szCs w:val="16"/>
                    </w:rPr>
                    <w:t>Once weekly for 4 weeks per cycl</w:t>
                  </w:r>
                  <w:r w:rsidR="001A3E79" w:rsidRPr="00544ECC">
                    <w:rPr>
                      <w:rFonts w:ascii="Arial" w:hAnsi="Arial" w:cs="Arial"/>
                      <w:sz w:val="16"/>
                      <w:szCs w:val="16"/>
                    </w:rPr>
                    <w:t>e</w:t>
                  </w:r>
                </w:p>
              </w:tc>
              <w:tc>
                <w:tcPr>
                  <w:tcW w:w="1244" w:type="dxa"/>
                </w:tcPr>
                <w:p w14:paraId="7E333087" w14:textId="51075F04" w:rsidR="00C07D83" w:rsidRPr="00544ECC" w:rsidRDefault="001A3E79" w:rsidP="0063183B">
                  <w:pPr>
                    <w:pStyle w:val="ListParagraph"/>
                    <w:spacing w:after="0" w:line="240" w:lineRule="auto"/>
                    <w:ind w:left="0"/>
                    <w:jc w:val="center"/>
                    <w:rPr>
                      <w:rFonts w:ascii="Arial" w:hAnsi="Arial" w:cs="Arial"/>
                      <w:sz w:val="16"/>
                      <w:szCs w:val="16"/>
                    </w:rPr>
                  </w:pPr>
                  <w:r w:rsidRPr="00544ECC">
                    <w:rPr>
                      <w:rFonts w:ascii="Arial" w:hAnsi="Arial" w:cs="Arial"/>
                      <w:sz w:val="16"/>
                      <w:szCs w:val="16"/>
                    </w:rPr>
                    <w:t>$315,460</w:t>
                  </w:r>
                </w:p>
              </w:tc>
            </w:tr>
            <w:tr w:rsidR="00C07D83" w14:paraId="00765B0F" w14:textId="4240593D" w:rsidTr="002A4AEB">
              <w:trPr>
                <w:trHeight w:val="378"/>
              </w:trPr>
              <w:tc>
                <w:tcPr>
                  <w:tcW w:w="1481" w:type="dxa"/>
                </w:tcPr>
                <w:p w14:paraId="2E11A0B9" w14:textId="4A22796F" w:rsidR="00C07D83" w:rsidRPr="00544ECC" w:rsidRDefault="00691798" w:rsidP="0063183B">
                  <w:pPr>
                    <w:pStyle w:val="Default"/>
                    <w:jc w:val="center"/>
                    <w:rPr>
                      <w:rFonts w:ascii="Arial" w:hAnsi="Arial" w:cs="Arial"/>
                      <w:sz w:val="16"/>
                      <w:szCs w:val="16"/>
                    </w:rPr>
                  </w:pPr>
                  <w:proofErr w:type="spellStart"/>
                  <w:r w:rsidRPr="00544ECC">
                    <w:rPr>
                      <w:rFonts w:ascii="Arial" w:hAnsi="Arial" w:cs="Arial"/>
                      <w:sz w:val="16"/>
                      <w:szCs w:val="16"/>
                    </w:rPr>
                    <w:t>Rystiggo</w:t>
                  </w:r>
                  <w:proofErr w:type="spellEnd"/>
                  <w:r w:rsidRPr="00544ECC">
                    <w:rPr>
                      <w:rFonts w:ascii="Arial" w:hAnsi="Arial" w:cs="Arial"/>
                      <w:sz w:val="16"/>
                      <w:szCs w:val="16"/>
                    </w:rPr>
                    <w:t xml:space="preserve"> (</w:t>
                  </w:r>
                  <w:proofErr w:type="spellStart"/>
                  <w:r w:rsidR="00F07BA2" w:rsidRPr="00544ECC">
                    <w:rPr>
                      <w:rFonts w:ascii="Arial" w:hAnsi="Arial" w:cs="Arial"/>
                      <w:sz w:val="16"/>
                      <w:szCs w:val="16"/>
                    </w:rPr>
                    <w:t>rozanolixizumab-noli</w:t>
                  </w:r>
                  <w:proofErr w:type="spellEnd"/>
                  <w:r w:rsidRPr="00544ECC">
                    <w:rPr>
                      <w:rFonts w:ascii="Arial" w:hAnsi="Arial" w:cs="Arial"/>
                      <w:sz w:val="16"/>
                      <w:szCs w:val="16"/>
                    </w:rPr>
                    <w:t>)</w:t>
                  </w:r>
                </w:p>
              </w:tc>
              <w:tc>
                <w:tcPr>
                  <w:tcW w:w="1193" w:type="dxa"/>
                </w:tcPr>
                <w:p w14:paraId="754FA16F" w14:textId="485230A4" w:rsidR="00C07D83" w:rsidRPr="00544ECC" w:rsidRDefault="00691798" w:rsidP="0063183B">
                  <w:pPr>
                    <w:pStyle w:val="Default"/>
                    <w:jc w:val="center"/>
                    <w:rPr>
                      <w:rFonts w:ascii="Arial" w:hAnsi="Arial" w:cs="Arial"/>
                      <w:sz w:val="16"/>
                      <w:szCs w:val="16"/>
                    </w:rPr>
                  </w:pPr>
                  <w:r w:rsidRPr="00544ECC">
                    <w:rPr>
                      <w:rFonts w:ascii="Arial" w:hAnsi="Arial" w:cs="Arial"/>
                      <w:sz w:val="16"/>
                      <w:szCs w:val="16"/>
                    </w:rPr>
                    <w:t xml:space="preserve">Adults with </w:t>
                  </w:r>
                  <w:proofErr w:type="spellStart"/>
                  <w:r w:rsidRPr="00544ECC">
                    <w:rPr>
                      <w:rFonts w:ascii="Arial" w:hAnsi="Arial" w:cs="Arial"/>
                      <w:sz w:val="16"/>
                      <w:szCs w:val="16"/>
                    </w:rPr>
                    <w:t>AChR</w:t>
                  </w:r>
                  <w:proofErr w:type="spellEnd"/>
                  <w:r w:rsidRPr="00544ECC">
                    <w:rPr>
                      <w:rFonts w:ascii="Arial" w:hAnsi="Arial" w:cs="Arial"/>
                      <w:sz w:val="16"/>
                      <w:szCs w:val="16"/>
                    </w:rPr>
                    <w:t xml:space="preserve"> Ab+ or </w:t>
                  </w:r>
                  <w:proofErr w:type="spellStart"/>
                  <w:r w:rsidRPr="00544ECC">
                    <w:rPr>
                      <w:rFonts w:ascii="Arial" w:hAnsi="Arial" w:cs="Arial"/>
                      <w:sz w:val="16"/>
                      <w:szCs w:val="16"/>
                    </w:rPr>
                    <w:t>MuSK</w:t>
                  </w:r>
                  <w:proofErr w:type="spellEnd"/>
                  <w:r w:rsidRPr="00544ECC">
                    <w:rPr>
                      <w:rFonts w:ascii="Arial" w:hAnsi="Arial" w:cs="Arial"/>
                      <w:sz w:val="16"/>
                      <w:szCs w:val="16"/>
                    </w:rPr>
                    <w:t xml:space="preserve"> Ab+ </w:t>
                  </w:r>
                  <w:proofErr w:type="spellStart"/>
                  <w:r w:rsidRPr="00544ECC">
                    <w:rPr>
                      <w:rFonts w:ascii="Arial" w:hAnsi="Arial" w:cs="Arial"/>
                      <w:sz w:val="16"/>
                      <w:szCs w:val="16"/>
                    </w:rPr>
                    <w:t>gMG</w:t>
                  </w:r>
                  <w:proofErr w:type="spellEnd"/>
                </w:p>
              </w:tc>
              <w:tc>
                <w:tcPr>
                  <w:tcW w:w="1725" w:type="dxa"/>
                </w:tcPr>
                <w:p w14:paraId="0AF1236D" w14:textId="2DF76530" w:rsidR="00C07D83" w:rsidRPr="00544ECC" w:rsidRDefault="00964B19" w:rsidP="0063183B">
                  <w:pPr>
                    <w:pStyle w:val="Default"/>
                    <w:jc w:val="center"/>
                    <w:rPr>
                      <w:rFonts w:ascii="Arial" w:hAnsi="Arial" w:cs="Arial"/>
                      <w:sz w:val="16"/>
                      <w:szCs w:val="16"/>
                    </w:rPr>
                  </w:pPr>
                  <w:r w:rsidRPr="00544ECC">
                    <w:rPr>
                      <w:rFonts w:ascii="Arial" w:hAnsi="Arial" w:cs="Arial"/>
                      <w:sz w:val="16"/>
                      <w:szCs w:val="16"/>
                    </w:rPr>
                    <w:t>SC infusion, ~12 mins for a patient weighing 80 kg</w:t>
                  </w:r>
                </w:p>
              </w:tc>
              <w:tc>
                <w:tcPr>
                  <w:tcW w:w="1271" w:type="dxa"/>
                </w:tcPr>
                <w:p w14:paraId="5FE8C910" w14:textId="549D23C1" w:rsidR="00C07D83" w:rsidRPr="00544ECC" w:rsidRDefault="00BD5577" w:rsidP="0063183B">
                  <w:pPr>
                    <w:pStyle w:val="Default"/>
                    <w:jc w:val="center"/>
                    <w:rPr>
                      <w:rFonts w:ascii="Arial" w:hAnsi="Arial" w:cs="Arial"/>
                      <w:sz w:val="16"/>
                      <w:szCs w:val="16"/>
                    </w:rPr>
                  </w:pPr>
                  <w:r w:rsidRPr="00544ECC">
                    <w:rPr>
                      <w:rFonts w:ascii="Arial" w:hAnsi="Arial" w:cs="Arial"/>
                      <w:sz w:val="16"/>
                      <w:szCs w:val="16"/>
                    </w:rPr>
                    <w:t>15 minutes</w:t>
                  </w:r>
                </w:p>
              </w:tc>
              <w:tc>
                <w:tcPr>
                  <w:tcW w:w="1271" w:type="dxa"/>
                </w:tcPr>
                <w:p w14:paraId="6CD00E53" w14:textId="67CD4B6F" w:rsidR="00C07D83" w:rsidRPr="00544ECC" w:rsidRDefault="00C7037D" w:rsidP="0063183B">
                  <w:pPr>
                    <w:pStyle w:val="Default"/>
                    <w:jc w:val="center"/>
                    <w:rPr>
                      <w:rFonts w:ascii="Arial" w:hAnsi="Arial" w:cs="Arial"/>
                      <w:sz w:val="16"/>
                      <w:szCs w:val="16"/>
                    </w:rPr>
                  </w:pPr>
                  <w:r w:rsidRPr="00544ECC">
                    <w:rPr>
                      <w:rFonts w:ascii="Arial" w:hAnsi="Arial" w:cs="Arial"/>
                      <w:sz w:val="16"/>
                      <w:szCs w:val="16"/>
                    </w:rPr>
                    <w:t>Once weekly for 6 weeks per cycle</w:t>
                  </w:r>
                </w:p>
              </w:tc>
              <w:tc>
                <w:tcPr>
                  <w:tcW w:w="1244" w:type="dxa"/>
                </w:tcPr>
                <w:p w14:paraId="39AC42F7" w14:textId="3FF2FC7E" w:rsidR="00C07D83" w:rsidRPr="00544ECC" w:rsidRDefault="000D1DC4" w:rsidP="0063183B">
                  <w:pPr>
                    <w:pStyle w:val="Default"/>
                    <w:jc w:val="center"/>
                    <w:rPr>
                      <w:rFonts w:ascii="Arial" w:hAnsi="Arial" w:cs="Arial"/>
                      <w:sz w:val="16"/>
                      <w:szCs w:val="16"/>
                    </w:rPr>
                  </w:pPr>
                  <w:r w:rsidRPr="00544ECC">
                    <w:rPr>
                      <w:rFonts w:ascii="Arial" w:hAnsi="Arial" w:cs="Arial"/>
                      <w:sz w:val="16"/>
                      <w:szCs w:val="16"/>
                    </w:rPr>
                    <w:t>$290,400</w:t>
                  </w:r>
                </w:p>
              </w:tc>
            </w:tr>
            <w:tr w:rsidR="00A7712D" w:rsidRPr="0049401D" w14:paraId="1A357FDE" w14:textId="244824DD" w:rsidTr="009F2B08">
              <w:trPr>
                <w:trHeight w:val="378"/>
              </w:trPr>
              <w:tc>
                <w:tcPr>
                  <w:tcW w:w="8185" w:type="dxa"/>
                  <w:gridSpan w:val="6"/>
                </w:tcPr>
                <w:p w14:paraId="7EBAFB1D" w14:textId="7362FDFF" w:rsidR="00A7712D" w:rsidRPr="002A4AEB" w:rsidRDefault="004C121E" w:rsidP="0063183B">
                  <w:pPr>
                    <w:pStyle w:val="ListParagraph"/>
                    <w:spacing w:after="0" w:line="240" w:lineRule="auto"/>
                    <w:ind w:left="0"/>
                    <w:jc w:val="center"/>
                    <w:rPr>
                      <w:rFonts w:ascii="Arial" w:eastAsia="Arial" w:hAnsi="Arial" w:cs="Arial"/>
                      <w:b/>
                      <w:bCs/>
                      <w:sz w:val="18"/>
                      <w:szCs w:val="18"/>
                    </w:rPr>
                  </w:pPr>
                  <w:r w:rsidRPr="002A4AEB">
                    <w:rPr>
                      <w:rFonts w:ascii="Arial" w:eastAsia="Arial" w:hAnsi="Arial" w:cs="Arial"/>
                      <w:b/>
                      <w:bCs/>
                      <w:sz w:val="18"/>
                      <w:szCs w:val="18"/>
                    </w:rPr>
                    <w:t>Compliment Inhibitors</w:t>
                  </w:r>
                </w:p>
              </w:tc>
            </w:tr>
            <w:tr w:rsidR="00B013AE" w:rsidRPr="0049401D" w14:paraId="462163CE" w14:textId="77777777" w:rsidTr="002A4AEB">
              <w:trPr>
                <w:trHeight w:val="378"/>
              </w:trPr>
              <w:tc>
                <w:tcPr>
                  <w:tcW w:w="1481" w:type="dxa"/>
                </w:tcPr>
                <w:p w14:paraId="159537D9" w14:textId="15F6C01A" w:rsidR="00B013AE" w:rsidRPr="002A4AEB" w:rsidRDefault="00FB05BB"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 xml:space="preserve">Soliris </w:t>
                  </w:r>
                  <w:r w:rsidR="00452D85" w:rsidRPr="002A4AEB">
                    <w:rPr>
                      <w:rFonts w:ascii="Arial" w:eastAsia="Arial" w:hAnsi="Arial" w:cs="Arial"/>
                      <w:sz w:val="16"/>
                      <w:szCs w:val="16"/>
                    </w:rPr>
                    <w:t>(</w:t>
                  </w:r>
                  <w:r w:rsidR="00512429" w:rsidRPr="002A4AEB">
                    <w:rPr>
                      <w:rFonts w:ascii="Arial" w:eastAsia="Arial" w:hAnsi="Arial" w:cs="Arial"/>
                      <w:sz w:val="16"/>
                      <w:szCs w:val="16"/>
                    </w:rPr>
                    <w:t>eculizumab</w:t>
                  </w:r>
                  <w:r w:rsidR="00452D85" w:rsidRPr="002A4AEB">
                    <w:rPr>
                      <w:rFonts w:ascii="Arial" w:eastAsia="Arial" w:hAnsi="Arial" w:cs="Arial"/>
                      <w:sz w:val="16"/>
                      <w:szCs w:val="16"/>
                    </w:rPr>
                    <w:t>)</w:t>
                  </w:r>
                </w:p>
              </w:tc>
              <w:tc>
                <w:tcPr>
                  <w:tcW w:w="1193" w:type="dxa"/>
                </w:tcPr>
                <w:p w14:paraId="188C4ECF" w14:textId="5C75A113" w:rsidR="00B013AE" w:rsidRPr="002A4AEB" w:rsidRDefault="002B7881"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 xml:space="preserve">Adults with </w:t>
                  </w:r>
                  <w:proofErr w:type="spellStart"/>
                  <w:r w:rsidRPr="002A4AEB">
                    <w:rPr>
                      <w:rFonts w:ascii="Arial" w:eastAsia="Arial" w:hAnsi="Arial" w:cs="Arial"/>
                      <w:sz w:val="16"/>
                      <w:szCs w:val="16"/>
                    </w:rPr>
                    <w:t>AChR</w:t>
                  </w:r>
                  <w:proofErr w:type="spellEnd"/>
                  <w:r w:rsidRPr="002A4AEB">
                    <w:rPr>
                      <w:rFonts w:ascii="Arial" w:eastAsia="Arial" w:hAnsi="Arial" w:cs="Arial"/>
                      <w:sz w:val="16"/>
                      <w:szCs w:val="16"/>
                    </w:rPr>
                    <w:t xml:space="preserve"> Ab+ </w:t>
                  </w:r>
                  <w:proofErr w:type="spellStart"/>
                  <w:r w:rsidRPr="002A4AEB">
                    <w:rPr>
                      <w:rFonts w:ascii="Arial" w:eastAsia="Arial" w:hAnsi="Arial" w:cs="Arial"/>
                      <w:sz w:val="16"/>
                      <w:szCs w:val="16"/>
                    </w:rPr>
                    <w:t>gMG</w:t>
                  </w:r>
                  <w:proofErr w:type="spellEnd"/>
                </w:p>
              </w:tc>
              <w:tc>
                <w:tcPr>
                  <w:tcW w:w="1725" w:type="dxa"/>
                </w:tcPr>
                <w:p w14:paraId="59B81FE8" w14:textId="4A6F5786" w:rsidR="00B013AE" w:rsidRPr="002A4AEB" w:rsidRDefault="00C61078"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IV, 35 minutes</w:t>
                  </w:r>
                </w:p>
              </w:tc>
              <w:tc>
                <w:tcPr>
                  <w:tcW w:w="1271" w:type="dxa"/>
                </w:tcPr>
                <w:p w14:paraId="07ACF6C7" w14:textId="4D156B06" w:rsidR="00B013AE" w:rsidRPr="002A4AEB" w:rsidRDefault="00F23F08"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1 hour</w:t>
                  </w:r>
                </w:p>
              </w:tc>
              <w:tc>
                <w:tcPr>
                  <w:tcW w:w="1271" w:type="dxa"/>
                </w:tcPr>
                <w:p w14:paraId="1183EE90" w14:textId="75730113" w:rsidR="00B013AE" w:rsidRPr="002A4AEB" w:rsidRDefault="00F23F08"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Once every 2 weeks</w:t>
                  </w:r>
                </w:p>
              </w:tc>
              <w:tc>
                <w:tcPr>
                  <w:tcW w:w="1244" w:type="dxa"/>
                </w:tcPr>
                <w:p w14:paraId="0D63BB9E" w14:textId="31B7A1A5" w:rsidR="00B013AE" w:rsidRPr="002A4AEB" w:rsidRDefault="002A1BE0"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$678,392</w:t>
                  </w:r>
                </w:p>
              </w:tc>
            </w:tr>
            <w:tr w:rsidR="00C07D83" w:rsidRPr="0049401D" w14:paraId="47A0E7A0" w14:textId="03053A12" w:rsidTr="002A4AEB">
              <w:trPr>
                <w:trHeight w:val="378"/>
              </w:trPr>
              <w:tc>
                <w:tcPr>
                  <w:tcW w:w="1481" w:type="dxa"/>
                </w:tcPr>
                <w:p w14:paraId="30956284" w14:textId="77777777" w:rsidR="00C07D83" w:rsidRPr="002A4AEB" w:rsidRDefault="00452D85" w:rsidP="0063183B">
                  <w:pPr>
                    <w:pStyle w:val="ListParagraph"/>
                    <w:spacing w:after="0" w:line="240" w:lineRule="auto"/>
                    <w:ind w:left="0"/>
                    <w:jc w:val="center"/>
                    <w:rPr>
                      <w:rFonts w:ascii="Arial" w:eastAsia="Arial" w:hAnsi="Arial" w:cs="Arial"/>
                      <w:sz w:val="16"/>
                      <w:szCs w:val="16"/>
                    </w:rPr>
                  </w:pPr>
                  <w:proofErr w:type="spellStart"/>
                  <w:r w:rsidRPr="002A4AEB">
                    <w:rPr>
                      <w:rFonts w:ascii="Arial" w:eastAsia="Arial" w:hAnsi="Arial" w:cs="Arial"/>
                      <w:sz w:val="16"/>
                      <w:szCs w:val="16"/>
                    </w:rPr>
                    <w:t>Ultomiris</w:t>
                  </w:r>
                  <w:proofErr w:type="spellEnd"/>
                </w:p>
                <w:p w14:paraId="11773820" w14:textId="455E1CC8" w:rsidR="00452D85" w:rsidRPr="002A4AEB" w:rsidRDefault="00452D85"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w:t>
                  </w:r>
                  <w:proofErr w:type="spellStart"/>
                  <w:proofErr w:type="gramStart"/>
                  <w:r w:rsidR="000A00CC" w:rsidRPr="002A4AEB">
                    <w:rPr>
                      <w:rFonts w:ascii="Arial" w:eastAsia="Arial" w:hAnsi="Arial" w:cs="Arial"/>
                      <w:sz w:val="16"/>
                      <w:szCs w:val="16"/>
                    </w:rPr>
                    <w:t>ravulizumab</w:t>
                  </w:r>
                  <w:proofErr w:type="gramEnd"/>
                  <w:r w:rsidR="000A00CC" w:rsidRPr="002A4AEB">
                    <w:rPr>
                      <w:rFonts w:ascii="Arial" w:eastAsia="Arial" w:hAnsi="Arial" w:cs="Arial"/>
                      <w:sz w:val="16"/>
                      <w:szCs w:val="16"/>
                    </w:rPr>
                    <w:t>-cw</w:t>
                  </w:r>
                  <w:r w:rsidR="00544ECC" w:rsidRPr="002A4AEB">
                    <w:rPr>
                      <w:rFonts w:ascii="Arial" w:eastAsia="Arial" w:hAnsi="Arial" w:cs="Arial"/>
                      <w:sz w:val="16"/>
                      <w:szCs w:val="16"/>
                    </w:rPr>
                    <w:t>vz</w:t>
                  </w:r>
                  <w:proofErr w:type="spellEnd"/>
                  <w:r w:rsidRPr="002A4AEB">
                    <w:rPr>
                      <w:rFonts w:ascii="Arial" w:eastAsia="Arial" w:hAnsi="Arial" w:cs="Arial"/>
                      <w:sz w:val="16"/>
                      <w:szCs w:val="16"/>
                    </w:rPr>
                    <w:t>)</w:t>
                  </w:r>
                </w:p>
              </w:tc>
              <w:tc>
                <w:tcPr>
                  <w:tcW w:w="1193" w:type="dxa"/>
                </w:tcPr>
                <w:p w14:paraId="25B0DA40" w14:textId="12ED0F85" w:rsidR="00C07D83" w:rsidRPr="002A4AEB" w:rsidRDefault="0091028C"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 xml:space="preserve">Adults with </w:t>
                  </w:r>
                  <w:proofErr w:type="spellStart"/>
                  <w:r w:rsidRPr="002A4AEB">
                    <w:rPr>
                      <w:rFonts w:ascii="Arial" w:eastAsia="Arial" w:hAnsi="Arial" w:cs="Arial"/>
                      <w:sz w:val="16"/>
                      <w:szCs w:val="16"/>
                    </w:rPr>
                    <w:t>AChR</w:t>
                  </w:r>
                  <w:proofErr w:type="spellEnd"/>
                  <w:r w:rsidRPr="002A4AEB">
                    <w:rPr>
                      <w:rFonts w:ascii="Arial" w:eastAsia="Arial" w:hAnsi="Arial" w:cs="Arial"/>
                      <w:sz w:val="16"/>
                      <w:szCs w:val="16"/>
                    </w:rPr>
                    <w:t xml:space="preserve"> Ab+ </w:t>
                  </w:r>
                  <w:proofErr w:type="spellStart"/>
                  <w:r w:rsidRPr="002A4AEB">
                    <w:rPr>
                      <w:rFonts w:ascii="Arial" w:eastAsia="Arial" w:hAnsi="Arial" w:cs="Arial"/>
                      <w:sz w:val="16"/>
                      <w:szCs w:val="16"/>
                    </w:rPr>
                    <w:t>gMG</w:t>
                  </w:r>
                  <w:proofErr w:type="spellEnd"/>
                </w:p>
              </w:tc>
              <w:tc>
                <w:tcPr>
                  <w:tcW w:w="1725" w:type="dxa"/>
                </w:tcPr>
                <w:p w14:paraId="0CB18CB0" w14:textId="6B6ADB10" w:rsidR="00C07D83" w:rsidRPr="002A4AEB" w:rsidRDefault="00363650"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IV, dose-dependent</w:t>
                  </w:r>
                </w:p>
              </w:tc>
              <w:tc>
                <w:tcPr>
                  <w:tcW w:w="1271" w:type="dxa"/>
                </w:tcPr>
                <w:p w14:paraId="126F01B3" w14:textId="64C79843" w:rsidR="00C07D83" w:rsidRPr="002A4AEB" w:rsidRDefault="00305CA4" w:rsidP="0063183B">
                  <w:pPr>
                    <w:pStyle w:val="ListParagraph"/>
                    <w:spacing w:after="0" w:line="240" w:lineRule="auto"/>
                    <w:ind w:left="0"/>
                    <w:jc w:val="center"/>
                    <w:rPr>
                      <w:rFonts w:ascii="Arial" w:eastAsia="Arial" w:hAnsi="Arial" w:cs="Arial"/>
                      <w:sz w:val="16"/>
                      <w:szCs w:val="16"/>
                    </w:rPr>
                  </w:pPr>
                  <w:r w:rsidRPr="002A4AEB">
                    <w:rPr>
                      <w:rFonts w:ascii="Arial" w:eastAsia="Arial" w:hAnsi="Arial" w:cs="Arial"/>
                      <w:sz w:val="16"/>
                      <w:szCs w:val="16"/>
                    </w:rPr>
                    <w:t>1 hour</w:t>
                  </w:r>
                </w:p>
              </w:tc>
              <w:tc>
                <w:tcPr>
                  <w:tcW w:w="1271" w:type="dxa"/>
                </w:tcPr>
                <w:p w14:paraId="4D5DE49F" w14:textId="6046A7FF" w:rsidR="00C07D83" w:rsidRPr="002A4AEB" w:rsidRDefault="00305CA4" w:rsidP="0063183B">
                  <w:pPr>
                    <w:pStyle w:val="ListParagraph"/>
                    <w:spacing w:after="0" w:line="240" w:lineRule="auto"/>
                    <w:ind w:left="0"/>
                    <w:jc w:val="center"/>
                    <w:rPr>
                      <w:rFonts w:ascii="Arial" w:hAnsi="Arial" w:cs="Arial"/>
                      <w:sz w:val="16"/>
                      <w:szCs w:val="16"/>
                    </w:rPr>
                  </w:pPr>
                  <w:r w:rsidRPr="002A4AEB">
                    <w:rPr>
                      <w:rFonts w:ascii="Arial" w:hAnsi="Arial" w:cs="Arial"/>
                      <w:sz w:val="16"/>
                      <w:szCs w:val="16"/>
                    </w:rPr>
                    <w:t>Once every 8 weeks</w:t>
                  </w:r>
                </w:p>
              </w:tc>
              <w:tc>
                <w:tcPr>
                  <w:tcW w:w="1244" w:type="dxa"/>
                </w:tcPr>
                <w:p w14:paraId="7A9185F3" w14:textId="1D9CD232" w:rsidR="00C07D83" w:rsidRPr="002A4AEB" w:rsidRDefault="00305CA4" w:rsidP="0063183B">
                  <w:pPr>
                    <w:pStyle w:val="ListParagraph"/>
                    <w:spacing w:after="0" w:line="240" w:lineRule="auto"/>
                    <w:ind w:left="0"/>
                    <w:jc w:val="center"/>
                    <w:rPr>
                      <w:rFonts w:ascii="Arial" w:hAnsi="Arial" w:cs="Arial"/>
                      <w:sz w:val="16"/>
                      <w:szCs w:val="16"/>
                    </w:rPr>
                  </w:pPr>
                  <w:r w:rsidRPr="002A4AEB">
                    <w:rPr>
                      <w:rFonts w:ascii="Arial" w:hAnsi="Arial" w:cs="Arial"/>
                      <w:sz w:val="16"/>
                      <w:szCs w:val="16"/>
                    </w:rPr>
                    <w:t>$457,886</w:t>
                  </w:r>
                </w:p>
              </w:tc>
            </w:tr>
          </w:tbl>
          <w:p w14:paraId="5CF8B5BB" w14:textId="56B0AF3D" w:rsidR="008319DA" w:rsidRPr="00417F7D" w:rsidRDefault="008319DA" w:rsidP="00DB3FEE">
            <w:pPr>
              <w:pStyle w:val="NoSpacing"/>
              <w:rPr>
                <w:sz w:val="20"/>
                <w:szCs w:val="20"/>
              </w:rPr>
            </w:pPr>
          </w:p>
        </w:tc>
      </w:tr>
      <w:tr w:rsidR="00DD7B75" w:rsidRPr="00417F7D" w14:paraId="40679444" w14:textId="77777777" w:rsidTr="151A7E19">
        <w:trPr>
          <w:trHeight w:val="890"/>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369F592F" w14:textId="6353B971" w:rsidR="00DD7B75" w:rsidRPr="00417F7D" w:rsidRDefault="00DD7B75" w:rsidP="00DD7B75">
            <w:pPr>
              <w:tabs>
                <w:tab w:val="left" w:pos="2400"/>
              </w:tabs>
              <w:suppressAutoHyphens/>
              <w:spacing w:before="60" w:after="60" w:line="220" w:lineRule="exact"/>
              <w:rPr>
                <w:b/>
                <w:color w:val="FFFFFF"/>
                <w:sz w:val="20"/>
                <w:szCs w:val="20"/>
              </w:rPr>
            </w:pPr>
            <w:r w:rsidRPr="00417F7D">
              <w:rPr>
                <w:b/>
                <w:bCs/>
                <w:color w:val="FFFFFF"/>
                <w:sz w:val="20"/>
                <w:szCs w:val="20"/>
              </w:rPr>
              <w:t xml:space="preserve">Prior Authorization </w:t>
            </w:r>
            <w:r w:rsidRPr="00417F7D">
              <w:rPr>
                <w:b/>
                <w:color w:val="FFFFFF"/>
                <w:sz w:val="20"/>
                <w:szCs w:val="20"/>
              </w:rPr>
              <w:t>Approval Criteria:</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1BDAF82F" w14:textId="18B9486D" w:rsidR="00804AAC" w:rsidRPr="00417F7D" w:rsidRDefault="48E7E366" w:rsidP="48E7E366">
            <w:pPr>
              <w:rPr>
                <w:rFonts w:eastAsia="Arial"/>
                <w:b/>
                <w:bCs/>
                <w:sz w:val="20"/>
                <w:szCs w:val="20"/>
              </w:rPr>
            </w:pPr>
            <w:r w:rsidRPr="00417F7D">
              <w:rPr>
                <w:rFonts w:eastAsia="Arial"/>
                <w:b/>
                <w:bCs/>
                <w:sz w:val="20"/>
                <w:szCs w:val="20"/>
              </w:rPr>
              <w:t>Must meet the following criteria:</w:t>
            </w:r>
          </w:p>
          <w:p w14:paraId="49FA7B4E" w14:textId="77777777" w:rsidR="00804AAC" w:rsidRPr="00417F7D" w:rsidRDefault="00804AAC" w:rsidP="48E7E366">
            <w:pPr>
              <w:rPr>
                <w:rFonts w:eastAsia="Arial"/>
                <w:b/>
                <w:bCs/>
                <w:sz w:val="20"/>
                <w:szCs w:val="20"/>
              </w:rPr>
            </w:pPr>
          </w:p>
          <w:p w14:paraId="51141A35" w14:textId="464B1E73" w:rsidR="00DD7B75" w:rsidRDefault="48E7E366" w:rsidP="48E7E366">
            <w:pPr>
              <w:rPr>
                <w:rFonts w:eastAsia="Arial"/>
                <w:sz w:val="20"/>
                <w:szCs w:val="20"/>
                <w:u w:val="single"/>
              </w:rPr>
            </w:pPr>
            <w:r w:rsidRPr="00417F7D">
              <w:rPr>
                <w:rFonts w:eastAsia="Arial"/>
                <w:sz w:val="20"/>
                <w:szCs w:val="20"/>
                <w:u w:val="single"/>
              </w:rPr>
              <w:t>Initial Therapy:</w:t>
            </w:r>
          </w:p>
          <w:p w14:paraId="10B2D852" w14:textId="7B985794"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t>Prescribed by or in consultation with neurologist</w:t>
            </w:r>
            <w:r w:rsidRPr="00EE5B48">
              <w:rPr>
                <w:rFonts w:ascii="Arial" w:hAnsi="Arial" w:cs="Arial"/>
                <w:sz w:val="20"/>
                <w:szCs w:val="20"/>
              </w:rPr>
              <w:t xml:space="preserve"> </w:t>
            </w:r>
            <w:r w:rsidRPr="007F1E4B">
              <w:rPr>
                <w:rFonts w:ascii="Arial" w:hAnsi="Arial" w:cs="Arial"/>
                <w:sz w:val="20"/>
                <w:szCs w:val="20"/>
              </w:rPr>
              <w:t xml:space="preserve">or other specialist in the treated disease state </w:t>
            </w:r>
            <w:r w:rsidRPr="001158AC">
              <w:rPr>
                <w:rFonts w:ascii="Arial" w:hAnsi="Arial" w:cs="Arial"/>
                <w:b/>
                <w:bCs/>
                <w:sz w:val="20"/>
                <w:szCs w:val="20"/>
              </w:rPr>
              <w:t>AND</w:t>
            </w:r>
          </w:p>
          <w:p w14:paraId="38216CCC" w14:textId="77777777"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t xml:space="preserve">Participant aged ≥ 18 years </w:t>
            </w:r>
            <w:r w:rsidRPr="00E97C52">
              <w:rPr>
                <w:rFonts w:ascii="Arial" w:hAnsi="Arial" w:cs="Arial"/>
                <w:b/>
                <w:bCs/>
                <w:sz w:val="20"/>
                <w:szCs w:val="20"/>
              </w:rPr>
              <w:t>AND</w:t>
            </w:r>
          </w:p>
          <w:p w14:paraId="7557B1FC" w14:textId="77777777"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t xml:space="preserve">Participant has documented diagnosis of generalized myasthenia gravis </w:t>
            </w:r>
            <w:r w:rsidRPr="00E97C52">
              <w:rPr>
                <w:rFonts w:ascii="Arial" w:hAnsi="Arial" w:cs="Arial"/>
                <w:b/>
                <w:bCs/>
                <w:sz w:val="20"/>
                <w:szCs w:val="20"/>
              </w:rPr>
              <w:t>AND</w:t>
            </w:r>
          </w:p>
          <w:p w14:paraId="4054159F" w14:textId="77777777"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lastRenderedPageBreak/>
              <w:t xml:space="preserve">Documented disease classification as Myasthenia Gravis Foundation of America (MGFA) Class II, III, or IV </w:t>
            </w:r>
            <w:r w:rsidRPr="003B342E">
              <w:rPr>
                <w:rFonts w:ascii="Arial" w:hAnsi="Arial" w:cs="Arial"/>
                <w:b/>
                <w:bCs/>
                <w:sz w:val="20"/>
                <w:szCs w:val="20"/>
              </w:rPr>
              <w:t>AND</w:t>
            </w:r>
          </w:p>
          <w:p w14:paraId="74CE3F03" w14:textId="66EF36D7"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t>Documented positive anti-</w:t>
            </w:r>
            <w:proofErr w:type="spellStart"/>
            <w:r w:rsidRPr="007F1E4B">
              <w:rPr>
                <w:rFonts w:ascii="Arial" w:hAnsi="Arial" w:cs="Arial"/>
                <w:sz w:val="20"/>
                <w:szCs w:val="20"/>
              </w:rPr>
              <w:t>AChR</w:t>
            </w:r>
            <w:proofErr w:type="spellEnd"/>
            <w:r w:rsidR="00204FB3">
              <w:rPr>
                <w:rFonts w:ascii="Arial" w:hAnsi="Arial" w:cs="Arial"/>
                <w:sz w:val="20"/>
                <w:szCs w:val="20"/>
              </w:rPr>
              <w:t xml:space="preserve"> or anti-</w:t>
            </w:r>
            <w:proofErr w:type="spellStart"/>
            <w:r w:rsidR="00204FB3">
              <w:rPr>
                <w:rFonts w:ascii="Arial" w:hAnsi="Arial" w:cs="Arial"/>
                <w:sz w:val="20"/>
                <w:szCs w:val="20"/>
              </w:rPr>
              <w:t>MuSK</w:t>
            </w:r>
            <w:proofErr w:type="spellEnd"/>
            <w:r w:rsidRPr="007F1E4B">
              <w:rPr>
                <w:rFonts w:ascii="Arial" w:hAnsi="Arial" w:cs="Arial"/>
                <w:sz w:val="20"/>
                <w:szCs w:val="20"/>
              </w:rPr>
              <w:t xml:space="preserve"> antibody test </w:t>
            </w:r>
            <w:r w:rsidRPr="0086544E">
              <w:rPr>
                <w:rFonts w:ascii="Arial" w:hAnsi="Arial" w:cs="Arial"/>
                <w:b/>
                <w:bCs/>
                <w:sz w:val="20"/>
                <w:szCs w:val="20"/>
              </w:rPr>
              <w:t xml:space="preserve">AND </w:t>
            </w:r>
          </w:p>
          <w:p w14:paraId="27545685" w14:textId="1C804621" w:rsidR="007F1E4B" w:rsidRPr="00BD1802" w:rsidRDefault="007F1E4B" w:rsidP="007F1E4B">
            <w:pPr>
              <w:pStyle w:val="ListParagraph"/>
              <w:numPr>
                <w:ilvl w:val="0"/>
                <w:numId w:val="26"/>
              </w:numPr>
              <w:rPr>
                <w:rFonts w:ascii="Arial" w:hAnsi="Arial" w:cs="Arial"/>
                <w:sz w:val="20"/>
                <w:szCs w:val="20"/>
              </w:rPr>
            </w:pPr>
            <w:r w:rsidRPr="00BD1802">
              <w:rPr>
                <w:rFonts w:ascii="Arial" w:hAnsi="Arial" w:cs="Arial"/>
                <w:sz w:val="20"/>
                <w:szCs w:val="20"/>
              </w:rPr>
              <w:t xml:space="preserve">Documented baseline MG-ADL </w:t>
            </w:r>
            <w:r w:rsidR="00BC2A02" w:rsidRPr="00BD1802">
              <w:rPr>
                <w:rFonts w:ascii="Arial" w:hAnsi="Arial" w:cs="Arial"/>
                <w:sz w:val="20"/>
                <w:szCs w:val="20"/>
              </w:rPr>
              <w:t xml:space="preserve">total </w:t>
            </w:r>
            <w:r w:rsidRPr="00BD1802">
              <w:rPr>
                <w:rFonts w:ascii="Arial" w:hAnsi="Arial" w:cs="Arial"/>
                <w:sz w:val="20"/>
                <w:szCs w:val="20"/>
              </w:rPr>
              <w:t xml:space="preserve">score of </w:t>
            </w:r>
            <w:r w:rsidR="00C723FF" w:rsidRPr="00BD1802">
              <w:rPr>
                <w:rFonts w:ascii="Arial" w:hAnsi="Arial" w:cs="Arial"/>
                <w:sz w:val="20"/>
                <w:szCs w:val="20"/>
              </w:rPr>
              <w:t>≥</w:t>
            </w:r>
            <w:r w:rsidR="00697A6F" w:rsidRPr="00BD1802">
              <w:rPr>
                <w:rFonts w:ascii="Arial" w:hAnsi="Arial" w:cs="Arial"/>
                <w:sz w:val="20"/>
                <w:szCs w:val="20"/>
              </w:rPr>
              <w:t>3 (with ≥3 from non-ocular symptoms)</w:t>
            </w:r>
            <w:r w:rsidRPr="00BD1802">
              <w:rPr>
                <w:rFonts w:ascii="Arial" w:hAnsi="Arial" w:cs="Arial"/>
                <w:sz w:val="20"/>
                <w:szCs w:val="20"/>
              </w:rPr>
              <w:t xml:space="preserve"> </w:t>
            </w:r>
            <w:r w:rsidR="0098591F" w:rsidRPr="00BD1802">
              <w:rPr>
                <w:rFonts w:ascii="Arial" w:hAnsi="Arial" w:cs="Arial"/>
                <w:b/>
                <w:bCs/>
                <w:sz w:val="20"/>
                <w:szCs w:val="20"/>
              </w:rPr>
              <w:t>AND</w:t>
            </w:r>
          </w:p>
          <w:p w14:paraId="1E8FAA2D" w14:textId="272699DD" w:rsidR="007F1E4B" w:rsidRPr="007F1E4B" w:rsidRDefault="007F1E4B" w:rsidP="007F1E4B">
            <w:pPr>
              <w:pStyle w:val="ListParagraph"/>
              <w:numPr>
                <w:ilvl w:val="0"/>
                <w:numId w:val="26"/>
              </w:numPr>
              <w:rPr>
                <w:rFonts w:ascii="Arial" w:hAnsi="Arial" w:cs="Arial"/>
                <w:sz w:val="20"/>
                <w:szCs w:val="20"/>
              </w:rPr>
            </w:pPr>
            <w:r w:rsidRPr="007F1E4B">
              <w:rPr>
                <w:rFonts w:ascii="Arial" w:hAnsi="Arial" w:cs="Arial"/>
                <w:sz w:val="20"/>
                <w:szCs w:val="20"/>
              </w:rPr>
              <w:t>Adequate therapeutic trial of 2</w:t>
            </w:r>
            <w:r w:rsidR="003D1A21">
              <w:rPr>
                <w:rFonts w:ascii="Arial" w:hAnsi="Arial" w:cs="Arial"/>
                <w:sz w:val="20"/>
                <w:szCs w:val="20"/>
              </w:rPr>
              <w:t xml:space="preserve"> conventional agents</w:t>
            </w:r>
            <w:r w:rsidRPr="007F1E4B">
              <w:rPr>
                <w:rFonts w:ascii="Arial" w:hAnsi="Arial" w:cs="Arial"/>
                <w:sz w:val="20"/>
                <w:szCs w:val="20"/>
              </w:rPr>
              <w:t xml:space="preserve"> (</w:t>
            </w:r>
            <w:proofErr w:type="spellStart"/>
            <w:r w:rsidR="004F43AC">
              <w:rPr>
                <w:rFonts w:ascii="Arial" w:hAnsi="Arial" w:cs="Arial"/>
                <w:sz w:val="20"/>
                <w:szCs w:val="20"/>
              </w:rPr>
              <w:t>AChE</w:t>
            </w:r>
            <w:proofErr w:type="spellEnd"/>
            <w:r w:rsidR="004F43AC">
              <w:rPr>
                <w:rFonts w:ascii="Arial" w:hAnsi="Arial" w:cs="Arial"/>
                <w:sz w:val="20"/>
                <w:szCs w:val="20"/>
              </w:rPr>
              <w:t xml:space="preserve"> inhibitors, steroids</w:t>
            </w:r>
            <w:r w:rsidR="009B609C">
              <w:rPr>
                <w:rFonts w:ascii="Arial" w:hAnsi="Arial" w:cs="Arial"/>
                <w:sz w:val="20"/>
                <w:szCs w:val="20"/>
              </w:rPr>
              <w:t>, or NSISTs</w:t>
            </w:r>
            <w:r w:rsidRPr="007F1E4B">
              <w:rPr>
                <w:rFonts w:ascii="Arial" w:hAnsi="Arial" w:cs="Arial"/>
                <w:sz w:val="20"/>
                <w:szCs w:val="20"/>
              </w:rPr>
              <w:t>) (90/120 days)</w:t>
            </w:r>
          </w:p>
          <w:p w14:paraId="08877E1A" w14:textId="4F221A54" w:rsidR="00790B4B" w:rsidRPr="008A59F7" w:rsidRDefault="007F1E4B" w:rsidP="00790B4B">
            <w:pPr>
              <w:pStyle w:val="ListParagraph"/>
              <w:numPr>
                <w:ilvl w:val="0"/>
                <w:numId w:val="26"/>
              </w:numPr>
              <w:rPr>
                <w:rFonts w:ascii="Arial" w:hAnsi="Arial" w:cs="Arial"/>
                <w:sz w:val="20"/>
                <w:szCs w:val="20"/>
              </w:rPr>
            </w:pPr>
            <w:r w:rsidRPr="007F1E4B">
              <w:rPr>
                <w:rFonts w:ascii="Arial" w:hAnsi="Arial" w:cs="Arial"/>
                <w:sz w:val="20"/>
                <w:szCs w:val="20"/>
              </w:rPr>
              <w:t>Initial approval period: 3 months</w:t>
            </w:r>
          </w:p>
          <w:p w14:paraId="4D8B552C" w14:textId="77777777" w:rsidR="00DD7B75" w:rsidRPr="00417F7D" w:rsidRDefault="48E7E366" w:rsidP="48E7E366">
            <w:pPr>
              <w:rPr>
                <w:rFonts w:eastAsia="Arial"/>
                <w:sz w:val="20"/>
                <w:szCs w:val="20"/>
                <w:u w:val="single"/>
              </w:rPr>
            </w:pPr>
            <w:r w:rsidRPr="00417F7D">
              <w:rPr>
                <w:rFonts w:eastAsia="Arial"/>
                <w:sz w:val="20"/>
                <w:szCs w:val="20"/>
                <w:u w:val="single"/>
              </w:rPr>
              <w:t>Continuation of Therapy:</w:t>
            </w:r>
          </w:p>
          <w:p w14:paraId="599E22DC" w14:textId="77777777" w:rsidR="000D7144" w:rsidRPr="000D7144" w:rsidRDefault="000D7144" w:rsidP="000D7144">
            <w:pPr>
              <w:pStyle w:val="NoSpacing"/>
              <w:numPr>
                <w:ilvl w:val="0"/>
                <w:numId w:val="39"/>
              </w:numPr>
              <w:rPr>
                <w:color w:val="000000" w:themeColor="text1"/>
                <w:sz w:val="20"/>
                <w:szCs w:val="20"/>
              </w:rPr>
            </w:pPr>
            <w:r w:rsidRPr="000D7144">
              <w:rPr>
                <w:color w:val="000000" w:themeColor="text1"/>
                <w:sz w:val="20"/>
                <w:szCs w:val="20"/>
              </w:rPr>
              <w:t>Subsequent cycles to be administered if:</w:t>
            </w:r>
          </w:p>
          <w:p w14:paraId="42DE0097" w14:textId="63EEF39F" w:rsidR="000D7144" w:rsidRPr="00EA1DCC" w:rsidRDefault="000D7144" w:rsidP="00DE081A">
            <w:pPr>
              <w:pStyle w:val="NoSpacing"/>
              <w:numPr>
                <w:ilvl w:val="1"/>
                <w:numId w:val="39"/>
              </w:numPr>
              <w:rPr>
                <w:color w:val="000000" w:themeColor="text1"/>
                <w:sz w:val="20"/>
                <w:szCs w:val="20"/>
              </w:rPr>
            </w:pPr>
            <w:r w:rsidRPr="00EA1DCC">
              <w:rPr>
                <w:color w:val="000000" w:themeColor="text1"/>
                <w:sz w:val="20"/>
                <w:szCs w:val="20"/>
              </w:rPr>
              <w:t>MG-ADL total score is ≥3 (with ≥3 from non-ocular symptoms)</w:t>
            </w:r>
            <w:r w:rsidR="00DE081A" w:rsidRPr="00EA1DCC">
              <w:rPr>
                <w:color w:val="000000" w:themeColor="text1"/>
                <w:sz w:val="20"/>
                <w:szCs w:val="20"/>
              </w:rPr>
              <w:t xml:space="preserve"> </w:t>
            </w:r>
            <w:r w:rsidRPr="00EA1DCC">
              <w:rPr>
                <w:b/>
                <w:bCs/>
                <w:color w:val="000000" w:themeColor="text1"/>
                <w:sz w:val="20"/>
                <w:szCs w:val="20"/>
              </w:rPr>
              <w:t>OR</w:t>
            </w:r>
          </w:p>
          <w:p w14:paraId="59C96A6F" w14:textId="1A4944A7" w:rsidR="000D7144" w:rsidRPr="00EA1DCC" w:rsidRDefault="000D7144" w:rsidP="005540AE">
            <w:pPr>
              <w:pStyle w:val="NoSpacing"/>
              <w:numPr>
                <w:ilvl w:val="1"/>
                <w:numId w:val="39"/>
              </w:numPr>
              <w:rPr>
                <w:color w:val="000000" w:themeColor="text1"/>
                <w:sz w:val="20"/>
                <w:szCs w:val="20"/>
              </w:rPr>
            </w:pPr>
            <w:r w:rsidRPr="00EA1DCC">
              <w:rPr>
                <w:color w:val="000000" w:themeColor="text1"/>
                <w:sz w:val="20"/>
                <w:szCs w:val="20"/>
              </w:rPr>
              <w:t>Participant was a MG-ADL responder initially, but no longer has a clinically meaningful improvement (defined as &lt; 2-point improvement in total MG-ADL score</w:t>
            </w:r>
            <w:r w:rsidR="00F029CC" w:rsidRPr="00EA1DCC">
              <w:rPr>
                <w:color w:val="000000" w:themeColor="text1"/>
                <w:sz w:val="20"/>
                <w:szCs w:val="20"/>
              </w:rPr>
              <w:t>)</w:t>
            </w:r>
            <w:r w:rsidRPr="00EA1DCC">
              <w:rPr>
                <w:color w:val="000000" w:themeColor="text1"/>
                <w:sz w:val="20"/>
                <w:szCs w:val="20"/>
              </w:rPr>
              <w:t xml:space="preserve"> </w:t>
            </w:r>
            <w:r w:rsidRPr="00EA1DCC">
              <w:rPr>
                <w:b/>
                <w:bCs/>
                <w:color w:val="000000" w:themeColor="text1"/>
                <w:sz w:val="20"/>
                <w:szCs w:val="20"/>
              </w:rPr>
              <w:t>AND</w:t>
            </w:r>
          </w:p>
          <w:p w14:paraId="1F050C67" w14:textId="32D11617" w:rsidR="000D7144" w:rsidRPr="00EA1DCC" w:rsidRDefault="000D7144" w:rsidP="000D7144">
            <w:pPr>
              <w:pStyle w:val="NoSpacing"/>
              <w:numPr>
                <w:ilvl w:val="0"/>
                <w:numId w:val="39"/>
              </w:numPr>
              <w:rPr>
                <w:color w:val="000000" w:themeColor="text1"/>
                <w:sz w:val="20"/>
                <w:szCs w:val="20"/>
              </w:rPr>
            </w:pPr>
            <w:r w:rsidRPr="00EA1DCC">
              <w:rPr>
                <w:color w:val="000000" w:themeColor="text1"/>
                <w:sz w:val="20"/>
                <w:szCs w:val="20"/>
              </w:rPr>
              <w:t xml:space="preserve">Treatment has a sustained effect for at least 4 weeks after the end of the previous treatment cycle </w:t>
            </w:r>
            <w:r w:rsidRPr="00EA1DCC">
              <w:rPr>
                <w:b/>
                <w:bCs/>
                <w:color w:val="000000" w:themeColor="text1"/>
                <w:sz w:val="20"/>
                <w:szCs w:val="20"/>
              </w:rPr>
              <w:t>AND</w:t>
            </w:r>
          </w:p>
          <w:p w14:paraId="1FB98A5C" w14:textId="3C3A03A5" w:rsidR="000D7144" w:rsidRPr="000D7144" w:rsidRDefault="000D7144" w:rsidP="000D7144">
            <w:pPr>
              <w:pStyle w:val="NoSpacing"/>
              <w:numPr>
                <w:ilvl w:val="0"/>
                <w:numId w:val="39"/>
              </w:numPr>
              <w:rPr>
                <w:color w:val="000000" w:themeColor="text1"/>
                <w:sz w:val="20"/>
                <w:szCs w:val="20"/>
              </w:rPr>
            </w:pPr>
            <w:r w:rsidRPr="000D7144">
              <w:rPr>
                <w:color w:val="000000" w:themeColor="text1"/>
                <w:sz w:val="20"/>
                <w:szCs w:val="20"/>
              </w:rPr>
              <w:t xml:space="preserve">Minimum time between treatment cycles should be no less than </w:t>
            </w:r>
            <w:r w:rsidR="00D748F8">
              <w:rPr>
                <w:color w:val="000000" w:themeColor="text1"/>
                <w:sz w:val="20"/>
                <w:szCs w:val="20"/>
              </w:rPr>
              <w:t>63</w:t>
            </w:r>
            <w:r w:rsidRPr="000D7144">
              <w:rPr>
                <w:color w:val="000000" w:themeColor="text1"/>
                <w:sz w:val="20"/>
                <w:szCs w:val="20"/>
              </w:rPr>
              <w:t xml:space="preserve"> days from the start of previous treatment cycle and the start of the next treatment </w:t>
            </w:r>
            <w:proofErr w:type="gramStart"/>
            <w:r w:rsidRPr="000D7144">
              <w:rPr>
                <w:color w:val="000000" w:themeColor="text1"/>
                <w:sz w:val="20"/>
                <w:szCs w:val="20"/>
              </w:rPr>
              <w:t>cycle</w:t>
            </w:r>
            <w:proofErr w:type="gramEnd"/>
          </w:p>
          <w:p w14:paraId="7C717D22" w14:textId="62559962" w:rsidR="00DD7B75" w:rsidRPr="000D7144" w:rsidRDefault="000D7144" w:rsidP="000D7144">
            <w:pPr>
              <w:pStyle w:val="NoSpacing"/>
              <w:numPr>
                <w:ilvl w:val="0"/>
                <w:numId w:val="39"/>
              </w:numPr>
              <w:rPr>
                <w:color w:val="000000" w:themeColor="text1"/>
                <w:sz w:val="20"/>
                <w:szCs w:val="20"/>
              </w:rPr>
            </w:pPr>
            <w:r w:rsidRPr="000D7144">
              <w:rPr>
                <w:color w:val="000000" w:themeColor="text1"/>
                <w:sz w:val="20"/>
                <w:szCs w:val="20"/>
              </w:rPr>
              <w:t>Continuation approval period: 6 months</w:t>
            </w:r>
          </w:p>
          <w:p w14:paraId="65FE58C4" w14:textId="5D317685" w:rsidR="005517FE" w:rsidRPr="00417F7D" w:rsidRDefault="005517FE" w:rsidP="00790B4B">
            <w:pPr>
              <w:pStyle w:val="NoSpacing"/>
              <w:rPr>
                <w:rFonts w:eastAsia="Arial"/>
                <w:sz w:val="20"/>
                <w:szCs w:val="20"/>
              </w:rPr>
            </w:pPr>
          </w:p>
          <w:p w14:paraId="4D9CB0A5" w14:textId="6B52C2CB" w:rsidR="00B555F9" w:rsidRPr="00417F7D" w:rsidRDefault="00B555F9" w:rsidP="00790B4B">
            <w:pPr>
              <w:pStyle w:val="NoSpacing"/>
              <w:rPr>
                <w:rFonts w:eastAsia="Arial"/>
                <w:sz w:val="20"/>
                <w:szCs w:val="20"/>
                <w:u w:val="single"/>
              </w:rPr>
            </w:pPr>
            <w:r w:rsidRPr="00417F7D">
              <w:rPr>
                <w:rFonts w:eastAsia="Arial"/>
                <w:sz w:val="20"/>
                <w:szCs w:val="20"/>
                <w:u w:val="single"/>
              </w:rPr>
              <w:t>Denial Criteria:</w:t>
            </w:r>
          </w:p>
          <w:p w14:paraId="2A72AA7E" w14:textId="77777777" w:rsidR="00CE4933" w:rsidRPr="00CE4933" w:rsidRDefault="00CE4933" w:rsidP="00CE4933">
            <w:pPr>
              <w:pStyle w:val="NoSpacing"/>
              <w:numPr>
                <w:ilvl w:val="0"/>
                <w:numId w:val="40"/>
              </w:numPr>
              <w:rPr>
                <w:rFonts w:eastAsia="Arial"/>
                <w:sz w:val="20"/>
                <w:szCs w:val="20"/>
              </w:rPr>
            </w:pPr>
            <w:r w:rsidRPr="00CE4933">
              <w:rPr>
                <w:rFonts w:eastAsia="Arial"/>
                <w:sz w:val="20"/>
                <w:szCs w:val="20"/>
              </w:rPr>
              <w:t xml:space="preserve">Therapy will be denied if all approval criteria are not </w:t>
            </w:r>
            <w:proofErr w:type="gramStart"/>
            <w:r w:rsidRPr="00CE4933">
              <w:rPr>
                <w:rFonts w:eastAsia="Arial"/>
                <w:sz w:val="20"/>
                <w:szCs w:val="20"/>
              </w:rPr>
              <w:t>met</w:t>
            </w:r>
            <w:proofErr w:type="gramEnd"/>
          </w:p>
          <w:p w14:paraId="0C037154" w14:textId="77777777" w:rsidR="00CE4933" w:rsidRPr="00CE4933" w:rsidRDefault="00CE4933" w:rsidP="00CE4933">
            <w:pPr>
              <w:pStyle w:val="NoSpacing"/>
              <w:numPr>
                <w:ilvl w:val="0"/>
                <w:numId w:val="40"/>
              </w:numPr>
              <w:rPr>
                <w:rFonts w:eastAsia="Arial"/>
                <w:sz w:val="20"/>
                <w:szCs w:val="20"/>
              </w:rPr>
            </w:pPr>
            <w:r w:rsidRPr="00CE4933">
              <w:rPr>
                <w:rFonts w:eastAsia="Arial"/>
                <w:sz w:val="20"/>
                <w:szCs w:val="20"/>
              </w:rPr>
              <w:t xml:space="preserve">Participant is currently </w:t>
            </w:r>
            <w:proofErr w:type="gramStart"/>
            <w:r w:rsidRPr="00CE4933">
              <w:rPr>
                <w:rFonts w:eastAsia="Arial"/>
                <w:sz w:val="20"/>
                <w:szCs w:val="20"/>
              </w:rPr>
              <w:t>pregnant</w:t>
            </w:r>
            <w:proofErr w:type="gramEnd"/>
          </w:p>
          <w:p w14:paraId="7B1F56EA" w14:textId="4039A6C1" w:rsidR="00CE4933" w:rsidRPr="00CE4933" w:rsidRDefault="00CE4933" w:rsidP="00CE4933">
            <w:pPr>
              <w:pStyle w:val="NoSpacing"/>
              <w:numPr>
                <w:ilvl w:val="0"/>
                <w:numId w:val="40"/>
              </w:numPr>
              <w:rPr>
                <w:rFonts w:eastAsia="Arial"/>
                <w:sz w:val="20"/>
                <w:szCs w:val="20"/>
              </w:rPr>
            </w:pPr>
            <w:r w:rsidRPr="00CE4933">
              <w:rPr>
                <w:rFonts w:eastAsia="Arial"/>
                <w:sz w:val="20"/>
                <w:szCs w:val="20"/>
              </w:rPr>
              <w:t xml:space="preserve">Dose exceeds </w:t>
            </w:r>
            <w:r w:rsidR="00C74147">
              <w:rPr>
                <w:rFonts w:eastAsia="Arial"/>
                <w:sz w:val="20"/>
                <w:szCs w:val="20"/>
              </w:rPr>
              <w:t>840</w:t>
            </w:r>
            <w:r w:rsidRPr="00CE4933">
              <w:rPr>
                <w:rFonts w:eastAsia="Arial"/>
                <w:sz w:val="20"/>
                <w:szCs w:val="20"/>
              </w:rPr>
              <w:t xml:space="preserve"> mg (6 mL) per </w:t>
            </w:r>
            <w:proofErr w:type="gramStart"/>
            <w:r w:rsidRPr="00CE4933">
              <w:rPr>
                <w:rFonts w:eastAsia="Arial"/>
                <w:sz w:val="20"/>
                <w:szCs w:val="20"/>
              </w:rPr>
              <w:t>infusion</w:t>
            </w:r>
            <w:proofErr w:type="gramEnd"/>
          </w:p>
          <w:p w14:paraId="7C564012" w14:textId="0C63FDA5" w:rsidR="00CE4933" w:rsidRPr="000C6088" w:rsidRDefault="00CE4933" w:rsidP="00CE4933">
            <w:pPr>
              <w:pStyle w:val="NoSpacing"/>
              <w:numPr>
                <w:ilvl w:val="0"/>
                <w:numId w:val="40"/>
              </w:numPr>
              <w:rPr>
                <w:rFonts w:eastAsia="Arial"/>
                <w:sz w:val="20"/>
                <w:szCs w:val="20"/>
              </w:rPr>
            </w:pPr>
            <w:r w:rsidRPr="000C6088">
              <w:rPr>
                <w:rFonts w:eastAsia="Arial"/>
                <w:sz w:val="20"/>
                <w:szCs w:val="20"/>
              </w:rPr>
              <w:t xml:space="preserve">Therapy exceeds </w:t>
            </w:r>
            <w:r w:rsidR="00881194" w:rsidRPr="000C6088">
              <w:rPr>
                <w:rFonts w:eastAsia="Arial"/>
                <w:sz w:val="20"/>
                <w:szCs w:val="20"/>
              </w:rPr>
              <w:t>30</w:t>
            </w:r>
            <w:r w:rsidRPr="000C6088">
              <w:rPr>
                <w:rFonts w:eastAsia="Arial"/>
                <w:sz w:val="20"/>
                <w:szCs w:val="20"/>
              </w:rPr>
              <w:t xml:space="preserve"> infusions per </w:t>
            </w:r>
            <w:proofErr w:type="gramStart"/>
            <w:r w:rsidRPr="000C6088">
              <w:rPr>
                <w:rFonts w:eastAsia="Arial"/>
                <w:sz w:val="20"/>
                <w:szCs w:val="20"/>
              </w:rPr>
              <w:t>year</w:t>
            </w:r>
            <w:proofErr w:type="gramEnd"/>
          </w:p>
          <w:p w14:paraId="2C9D6577" w14:textId="4CD98BA6" w:rsidR="00B555F9" w:rsidRPr="000C6088" w:rsidRDefault="00B555F9" w:rsidP="005762DA">
            <w:pPr>
              <w:pStyle w:val="NoSpacing"/>
              <w:rPr>
                <w:rFonts w:eastAsia="Arial"/>
                <w:sz w:val="20"/>
                <w:szCs w:val="20"/>
              </w:rPr>
            </w:pPr>
          </w:p>
          <w:p w14:paraId="50CF34DF" w14:textId="0DF79253" w:rsidR="00B555F9" w:rsidRPr="000C6088" w:rsidRDefault="00B555F9" w:rsidP="00B555F9">
            <w:pPr>
              <w:pStyle w:val="NoSpacing"/>
              <w:rPr>
                <w:rFonts w:eastAsia="Arial"/>
                <w:sz w:val="20"/>
                <w:szCs w:val="20"/>
                <w:u w:val="single"/>
              </w:rPr>
            </w:pPr>
            <w:r w:rsidRPr="000C6088">
              <w:rPr>
                <w:rFonts w:eastAsia="Arial"/>
                <w:sz w:val="20"/>
                <w:szCs w:val="20"/>
                <w:u w:val="single"/>
              </w:rPr>
              <w:t>Default Approval Period:</w:t>
            </w:r>
          </w:p>
          <w:p w14:paraId="7E3D4EDE" w14:textId="2FE4F98F" w:rsidR="00DD7B75" w:rsidRPr="000C6088" w:rsidRDefault="00000000" w:rsidP="009F144A">
            <w:pPr>
              <w:pStyle w:val="NoSpacing"/>
              <w:numPr>
                <w:ilvl w:val="0"/>
                <w:numId w:val="25"/>
              </w:numPr>
              <w:rPr>
                <w:rFonts w:eastAsia="Arial"/>
                <w:sz w:val="20"/>
                <w:szCs w:val="20"/>
              </w:rPr>
            </w:pPr>
            <w:sdt>
              <w:sdtPr>
                <w:rPr>
                  <w:sz w:val="20"/>
                  <w:szCs w:val="20"/>
                </w:rPr>
                <w:id w:val="877584665"/>
                <w:placeholder>
                  <w:docPart w:val="98A1F216A7934F8D860EF2D7885F87AA"/>
                </w:placeholder>
              </w:sdtPr>
              <w:sdtContent>
                <w:r w:rsidR="00836A7D" w:rsidRPr="000C6088">
                  <w:rPr>
                    <w:sz w:val="20"/>
                    <w:szCs w:val="20"/>
                  </w:rPr>
                  <w:t>3 months</w:t>
                </w:r>
              </w:sdtContent>
            </w:sdt>
          </w:p>
          <w:p w14:paraId="5306A151" w14:textId="14B85263" w:rsidR="008E6C65" w:rsidRPr="00417F7D" w:rsidRDefault="008E6C65" w:rsidP="0016140E">
            <w:pPr>
              <w:pStyle w:val="NoSpacing"/>
              <w:rPr>
                <w:rFonts w:eastAsia="Arial"/>
                <w:b/>
                <w:sz w:val="20"/>
                <w:szCs w:val="20"/>
              </w:rPr>
            </w:pPr>
          </w:p>
        </w:tc>
      </w:tr>
      <w:tr w:rsidR="00A43F23" w:rsidRPr="00417F7D" w14:paraId="5E456727" w14:textId="77777777" w:rsidTr="151A7E19">
        <w:trPr>
          <w:trHeight w:val="1313"/>
        </w:trPr>
        <w:tc>
          <w:tcPr>
            <w:tcW w:w="24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9"/>
          </w:tcPr>
          <w:p w14:paraId="5544D50F" w14:textId="308C51B1" w:rsidR="00A43F23" w:rsidRPr="00417F7D" w:rsidRDefault="00DF6FE3" w:rsidP="00DD7B75">
            <w:pPr>
              <w:tabs>
                <w:tab w:val="left" w:pos="2400"/>
              </w:tabs>
              <w:suppressAutoHyphens/>
              <w:spacing w:before="60" w:after="60" w:line="220" w:lineRule="exact"/>
              <w:rPr>
                <w:b/>
                <w:bCs/>
                <w:color w:val="FFFFFF"/>
                <w:sz w:val="20"/>
                <w:szCs w:val="20"/>
              </w:rPr>
            </w:pPr>
            <w:r w:rsidRPr="00417F7D">
              <w:rPr>
                <w:b/>
                <w:bCs/>
                <w:color w:val="FFFFFF"/>
                <w:sz w:val="20"/>
                <w:szCs w:val="20"/>
              </w:rPr>
              <w:lastRenderedPageBreak/>
              <w:t>Implication to State Medicaid Program:</w:t>
            </w:r>
          </w:p>
        </w:tc>
        <w:tc>
          <w:tcPr>
            <w:tcW w:w="8354" w:type="dxa"/>
            <w:tcBorders>
              <w:top w:val="single" w:sz="4" w:space="0" w:color="4F81BD" w:themeColor="accent1"/>
              <w:left w:val="single" w:sz="4" w:space="0" w:color="FFFFFF" w:themeColor="background1"/>
              <w:bottom w:val="single" w:sz="4" w:space="0" w:color="4F81BD" w:themeColor="accent1"/>
              <w:right w:val="single" w:sz="4" w:space="0" w:color="4F81BD" w:themeColor="accent1"/>
            </w:tcBorders>
          </w:tcPr>
          <w:p w14:paraId="6F37CEB2" w14:textId="0DC4E5CA" w:rsidR="000631AE" w:rsidRPr="009B0F55" w:rsidRDefault="00B555F9" w:rsidP="00790B4B">
            <w:pPr>
              <w:pStyle w:val="NoSpacing"/>
              <w:rPr>
                <w:rFonts w:eastAsia="Arial"/>
                <w:b/>
                <w:sz w:val="20"/>
                <w:szCs w:val="20"/>
              </w:rPr>
            </w:pPr>
            <w:r w:rsidRPr="000C6088">
              <w:rPr>
                <w:rFonts w:eastAsia="Arial"/>
                <w:b/>
                <w:sz w:val="20"/>
                <w:szCs w:val="20"/>
              </w:rPr>
              <w:t>LOE:</w:t>
            </w:r>
            <w:r w:rsidR="00FC66E5">
              <w:rPr>
                <w:rFonts w:eastAsia="Arial"/>
                <w:b/>
                <w:sz w:val="20"/>
                <w:szCs w:val="20"/>
              </w:rPr>
              <w:t xml:space="preserve"> 2037</w:t>
            </w:r>
          </w:p>
          <w:p w14:paraId="4B0164AB" w14:textId="77777777" w:rsidR="000631AE" w:rsidRPr="009B0F55" w:rsidRDefault="000631AE" w:rsidP="00790B4B">
            <w:pPr>
              <w:pStyle w:val="NoSpacing"/>
              <w:rPr>
                <w:rFonts w:eastAsia="Arial"/>
                <w:b/>
                <w:sz w:val="20"/>
                <w:szCs w:val="20"/>
              </w:rPr>
            </w:pPr>
          </w:p>
          <w:p w14:paraId="716BA541" w14:textId="34BB891C" w:rsidR="000631AE" w:rsidRPr="009B0F55" w:rsidRDefault="00A34010" w:rsidP="00790B4B">
            <w:pPr>
              <w:pStyle w:val="NoSpacing"/>
              <w:rPr>
                <w:rFonts w:eastAsia="Arial"/>
                <w:b/>
                <w:sz w:val="20"/>
                <w:szCs w:val="20"/>
              </w:rPr>
            </w:pPr>
            <w:r w:rsidRPr="009B0F55">
              <w:rPr>
                <w:rFonts w:eastAsia="Arial"/>
                <w:b/>
                <w:sz w:val="20"/>
                <w:szCs w:val="20"/>
              </w:rPr>
              <w:t xml:space="preserve">Pipeline drugs: </w:t>
            </w:r>
          </w:p>
          <w:p w14:paraId="1D02003B" w14:textId="13CFB1E8" w:rsidR="00534D58" w:rsidRPr="009B0F55" w:rsidRDefault="00534D58" w:rsidP="00534D58">
            <w:pPr>
              <w:pStyle w:val="NoSpacing"/>
              <w:numPr>
                <w:ilvl w:val="0"/>
                <w:numId w:val="25"/>
              </w:numPr>
              <w:rPr>
                <w:rFonts w:eastAsia="Arial"/>
                <w:bCs/>
                <w:sz w:val="20"/>
                <w:szCs w:val="20"/>
              </w:rPr>
            </w:pPr>
            <w:proofErr w:type="spellStart"/>
            <w:r w:rsidRPr="009B0F55">
              <w:rPr>
                <w:rFonts w:eastAsia="Arial"/>
                <w:bCs/>
                <w:sz w:val="20"/>
                <w:szCs w:val="20"/>
              </w:rPr>
              <w:t>Vyvgart</w:t>
            </w:r>
            <w:proofErr w:type="spellEnd"/>
            <w:r w:rsidRPr="009B0F55">
              <w:rPr>
                <w:rFonts w:eastAsia="Arial"/>
                <w:bCs/>
                <w:sz w:val="20"/>
                <w:szCs w:val="20"/>
              </w:rPr>
              <w:t xml:space="preserve"> </w:t>
            </w:r>
            <w:proofErr w:type="spellStart"/>
            <w:r w:rsidRPr="009B0F55">
              <w:rPr>
                <w:rFonts w:eastAsia="Arial"/>
                <w:bCs/>
                <w:sz w:val="20"/>
                <w:szCs w:val="20"/>
              </w:rPr>
              <w:t>Hytrulo</w:t>
            </w:r>
            <w:proofErr w:type="spellEnd"/>
            <w:r w:rsidRPr="009B0F55">
              <w:rPr>
                <w:rFonts w:eastAsia="Arial"/>
                <w:bCs/>
                <w:sz w:val="20"/>
                <w:szCs w:val="20"/>
              </w:rPr>
              <w:t xml:space="preserve"> PFS (</w:t>
            </w:r>
            <w:r w:rsidR="00B45482" w:rsidRPr="009B0F55">
              <w:rPr>
                <w:rFonts w:eastAsia="Arial"/>
                <w:bCs/>
                <w:sz w:val="20"/>
                <w:szCs w:val="20"/>
              </w:rPr>
              <w:t xml:space="preserve">Manufacturer: </w:t>
            </w:r>
            <w:proofErr w:type="spellStart"/>
            <w:r w:rsidRPr="009B0F55">
              <w:rPr>
                <w:rFonts w:eastAsia="Arial"/>
                <w:bCs/>
                <w:sz w:val="20"/>
                <w:szCs w:val="20"/>
              </w:rPr>
              <w:t>argenx</w:t>
            </w:r>
            <w:proofErr w:type="spellEnd"/>
            <w:r w:rsidRPr="009B0F55">
              <w:rPr>
                <w:rFonts w:eastAsia="Arial"/>
                <w:bCs/>
                <w:sz w:val="20"/>
                <w:szCs w:val="20"/>
              </w:rPr>
              <w:t>)</w:t>
            </w:r>
          </w:p>
          <w:p w14:paraId="70CF9639" w14:textId="77777777" w:rsidR="00534D58" w:rsidRPr="009B0F55" w:rsidRDefault="00534D58" w:rsidP="00534D58">
            <w:pPr>
              <w:pStyle w:val="NoSpacing"/>
              <w:numPr>
                <w:ilvl w:val="1"/>
                <w:numId w:val="25"/>
              </w:numPr>
              <w:rPr>
                <w:rFonts w:eastAsia="Arial"/>
                <w:bCs/>
                <w:sz w:val="20"/>
                <w:szCs w:val="20"/>
              </w:rPr>
            </w:pPr>
            <w:r w:rsidRPr="009B0F55">
              <w:rPr>
                <w:rFonts w:eastAsia="Arial"/>
                <w:bCs/>
                <w:sz w:val="20"/>
                <w:szCs w:val="20"/>
              </w:rPr>
              <w:t>Anti-</w:t>
            </w:r>
            <w:proofErr w:type="spellStart"/>
            <w:r w:rsidRPr="009B0F55">
              <w:rPr>
                <w:rFonts w:eastAsia="Arial"/>
                <w:bCs/>
                <w:sz w:val="20"/>
                <w:szCs w:val="20"/>
              </w:rPr>
              <w:t>AChR</w:t>
            </w:r>
            <w:proofErr w:type="spellEnd"/>
            <w:r w:rsidRPr="009B0F55">
              <w:rPr>
                <w:rFonts w:eastAsia="Arial"/>
                <w:bCs/>
                <w:sz w:val="20"/>
                <w:szCs w:val="20"/>
              </w:rPr>
              <w:t xml:space="preserve"> Ab+ adults with </w:t>
            </w:r>
            <w:proofErr w:type="spellStart"/>
            <w:r w:rsidRPr="009B0F55">
              <w:rPr>
                <w:rFonts w:eastAsia="Arial"/>
                <w:bCs/>
                <w:sz w:val="20"/>
                <w:szCs w:val="20"/>
              </w:rPr>
              <w:t>gMG</w:t>
            </w:r>
            <w:proofErr w:type="spellEnd"/>
          </w:p>
          <w:p w14:paraId="0AD228A5" w14:textId="201DCA75" w:rsidR="00534D58" w:rsidRPr="009B0F55" w:rsidRDefault="00534D58" w:rsidP="00B92C8D">
            <w:pPr>
              <w:pStyle w:val="NoSpacing"/>
              <w:numPr>
                <w:ilvl w:val="1"/>
                <w:numId w:val="25"/>
              </w:numPr>
              <w:rPr>
                <w:rFonts w:eastAsia="Arial"/>
                <w:bCs/>
                <w:sz w:val="20"/>
                <w:szCs w:val="20"/>
              </w:rPr>
            </w:pPr>
            <w:proofErr w:type="gramStart"/>
            <w:r w:rsidRPr="009B0F55">
              <w:rPr>
                <w:rFonts w:eastAsia="Arial"/>
                <w:bCs/>
                <w:sz w:val="20"/>
                <w:szCs w:val="20"/>
              </w:rPr>
              <w:t>SC,</w:t>
            </w:r>
            <w:proofErr w:type="gramEnd"/>
            <w:r w:rsidRPr="009B0F55">
              <w:rPr>
                <w:rFonts w:eastAsia="Arial"/>
                <w:bCs/>
                <w:sz w:val="20"/>
                <w:szCs w:val="20"/>
              </w:rPr>
              <w:t xml:space="preserve"> self-administered</w:t>
            </w:r>
            <w:r w:rsidR="00B92C8D" w:rsidRPr="009B0F55">
              <w:rPr>
                <w:rFonts w:eastAsia="Arial"/>
                <w:bCs/>
                <w:sz w:val="20"/>
                <w:szCs w:val="20"/>
              </w:rPr>
              <w:t xml:space="preserve"> - </w:t>
            </w:r>
            <w:r w:rsidRPr="009B0F55">
              <w:rPr>
                <w:rFonts w:eastAsia="Arial"/>
                <w:bCs/>
                <w:sz w:val="20"/>
                <w:szCs w:val="20"/>
              </w:rPr>
              <w:t>more convenient for patients.</w:t>
            </w:r>
          </w:p>
          <w:p w14:paraId="027E71CB" w14:textId="614D6828" w:rsidR="00534D58" w:rsidRPr="009B0F55" w:rsidRDefault="00534D58" w:rsidP="00B057EF">
            <w:pPr>
              <w:pStyle w:val="NoSpacing"/>
              <w:numPr>
                <w:ilvl w:val="1"/>
                <w:numId w:val="25"/>
              </w:numPr>
              <w:rPr>
                <w:rFonts w:eastAsia="Arial"/>
                <w:bCs/>
                <w:sz w:val="20"/>
                <w:szCs w:val="20"/>
              </w:rPr>
            </w:pPr>
            <w:r w:rsidRPr="009B0F55">
              <w:rPr>
                <w:rFonts w:eastAsia="Arial"/>
                <w:bCs/>
                <w:sz w:val="20"/>
                <w:szCs w:val="20"/>
              </w:rPr>
              <w:t xml:space="preserve">Cost </w:t>
            </w:r>
            <w:proofErr w:type="gramStart"/>
            <w:r w:rsidRPr="009B0F55">
              <w:rPr>
                <w:rFonts w:eastAsia="Arial"/>
                <w:bCs/>
                <w:sz w:val="20"/>
                <w:szCs w:val="20"/>
              </w:rPr>
              <w:t>estimated</w:t>
            </w:r>
            <w:proofErr w:type="gramEnd"/>
            <w:r w:rsidRPr="009B0F55">
              <w:rPr>
                <w:rFonts w:eastAsia="Arial"/>
                <w:bCs/>
                <w:sz w:val="20"/>
                <w:szCs w:val="20"/>
              </w:rPr>
              <w:t xml:space="preserve"> to be in a similar range as </w:t>
            </w:r>
            <w:proofErr w:type="spellStart"/>
            <w:r w:rsidRPr="009B0F55">
              <w:rPr>
                <w:rFonts w:eastAsia="Arial"/>
                <w:bCs/>
                <w:sz w:val="20"/>
                <w:szCs w:val="20"/>
              </w:rPr>
              <w:t>Vyvgart</w:t>
            </w:r>
            <w:proofErr w:type="spellEnd"/>
            <w:r w:rsidRPr="009B0F55">
              <w:rPr>
                <w:rFonts w:eastAsia="Arial"/>
                <w:bCs/>
                <w:sz w:val="20"/>
                <w:szCs w:val="20"/>
              </w:rPr>
              <w:t>; however, may be higher given the convenience advantage.</w:t>
            </w:r>
          </w:p>
          <w:p w14:paraId="4F778D3D" w14:textId="71A1A191" w:rsidR="00494D3F" w:rsidRPr="009B0F55" w:rsidRDefault="00534D58" w:rsidP="00B057EF">
            <w:pPr>
              <w:pStyle w:val="NoSpacing"/>
              <w:numPr>
                <w:ilvl w:val="1"/>
                <w:numId w:val="25"/>
              </w:numPr>
              <w:rPr>
                <w:rFonts w:eastAsia="Arial"/>
                <w:bCs/>
                <w:sz w:val="20"/>
                <w:szCs w:val="20"/>
              </w:rPr>
            </w:pPr>
            <w:r w:rsidRPr="009B0F55">
              <w:rPr>
                <w:rFonts w:eastAsia="Arial"/>
                <w:bCs/>
                <w:sz w:val="20"/>
                <w:szCs w:val="20"/>
              </w:rPr>
              <w:t xml:space="preserve">Approval and launch timeline is </w:t>
            </w:r>
            <w:proofErr w:type="gramStart"/>
            <w:r w:rsidRPr="009B0F55">
              <w:rPr>
                <w:rFonts w:eastAsia="Arial"/>
                <w:bCs/>
                <w:sz w:val="20"/>
                <w:szCs w:val="20"/>
              </w:rPr>
              <w:t>unknown</w:t>
            </w:r>
            <w:proofErr w:type="gramEnd"/>
          </w:p>
          <w:p w14:paraId="7A8CEFD7" w14:textId="5312AA37" w:rsidR="00753FBD" w:rsidRPr="009B0F55" w:rsidRDefault="00753FBD" w:rsidP="00753FBD">
            <w:pPr>
              <w:pStyle w:val="NoSpacing"/>
              <w:numPr>
                <w:ilvl w:val="0"/>
                <w:numId w:val="25"/>
              </w:numPr>
              <w:rPr>
                <w:rFonts w:eastAsia="Arial"/>
                <w:bCs/>
                <w:sz w:val="20"/>
                <w:szCs w:val="20"/>
              </w:rPr>
            </w:pPr>
            <w:proofErr w:type="spellStart"/>
            <w:r w:rsidRPr="009B0F55">
              <w:rPr>
                <w:rFonts w:eastAsia="Arial"/>
                <w:bCs/>
                <w:sz w:val="20"/>
                <w:szCs w:val="20"/>
              </w:rPr>
              <w:t>Batoclimab</w:t>
            </w:r>
            <w:proofErr w:type="spellEnd"/>
            <w:r w:rsidR="00B45482" w:rsidRPr="009B0F55">
              <w:rPr>
                <w:rFonts w:eastAsia="Arial"/>
                <w:bCs/>
                <w:sz w:val="20"/>
                <w:szCs w:val="20"/>
              </w:rPr>
              <w:t xml:space="preserve"> (Manufacturer: </w:t>
            </w:r>
            <w:proofErr w:type="spellStart"/>
            <w:r w:rsidRPr="009B0F55">
              <w:rPr>
                <w:rFonts w:eastAsia="Arial"/>
                <w:bCs/>
                <w:sz w:val="20"/>
                <w:szCs w:val="20"/>
              </w:rPr>
              <w:t>Immunovant</w:t>
            </w:r>
            <w:proofErr w:type="spellEnd"/>
            <w:r w:rsidR="00B45482" w:rsidRPr="009B0F55">
              <w:rPr>
                <w:rFonts w:eastAsia="Arial"/>
                <w:bCs/>
                <w:sz w:val="20"/>
                <w:szCs w:val="20"/>
              </w:rPr>
              <w:t>)</w:t>
            </w:r>
          </w:p>
          <w:p w14:paraId="0BDA1607" w14:textId="77777777" w:rsidR="00753FBD" w:rsidRPr="009B0F55" w:rsidRDefault="00753FBD" w:rsidP="00753FBD">
            <w:pPr>
              <w:pStyle w:val="NoSpacing"/>
              <w:numPr>
                <w:ilvl w:val="1"/>
                <w:numId w:val="25"/>
              </w:numPr>
              <w:rPr>
                <w:rFonts w:eastAsia="Arial"/>
                <w:bCs/>
                <w:sz w:val="20"/>
                <w:szCs w:val="20"/>
              </w:rPr>
            </w:pPr>
            <w:r w:rsidRPr="009B0F55">
              <w:rPr>
                <w:rFonts w:eastAsia="Arial"/>
                <w:bCs/>
                <w:sz w:val="20"/>
                <w:szCs w:val="20"/>
              </w:rPr>
              <w:t xml:space="preserve">Adults with </w:t>
            </w:r>
            <w:proofErr w:type="spellStart"/>
            <w:r w:rsidRPr="009B0F55">
              <w:rPr>
                <w:rFonts w:eastAsia="Arial"/>
                <w:bCs/>
                <w:sz w:val="20"/>
                <w:szCs w:val="20"/>
              </w:rPr>
              <w:t>gMG</w:t>
            </w:r>
            <w:proofErr w:type="spellEnd"/>
          </w:p>
          <w:p w14:paraId="488BB507" w14:textId="77777777" w:rsidR="00753FBD" w:rsidRPr="009B0F55" w:rsidRDefault="00753FBD" w:rsidP="00753FBD">
            <w:pPr>
              <w:pStyle w:val="NoSpacing"/>
              <w:numPr>
                <w:ilvl w:val="1"/>
                <w:numId w:val="25"/>
              </w:numPr>
              <w:rPr>
                <w:rFonts w:eastAsia="Arial"/>
                <w:bCs/>
                <w:sz w:val="20"/>
                <w:szCs w:val="20"/>
              </w:rPr>
            </w:pPr>
            <w:r w:rsidRPr="009B0F55">
              <w:rPr>
                <w:rFonts w:eastAsia="Arial"/>
                <w:bCs/>
                <w:sz w:val="20"/>
                <w:szCs w:val="20"/>
              </w:rPr>
              <w:t xml:space="preserve">SC, likely HCP </w:t>
            </w:r>
            <w:proofErr w:type="gramStart"/>
            <w:r w:rsidRPr="009B0F55">
              <w:rPr>
                <w:rFonts w:eastAsia="Arial"/>
                <w:bCs/>
                <w:sz w:val="20"/>
                <w:szCs w:val="20"/>
              </w:rPr>
              <w:t>administered</w:t>
            </w:r>
            <w:proofErr w:type="gramEnd"/>
          </w:p>
          <w:p w14:paraId="32ACA702" w14:textId="763553ED" w:rsidR="00753FBD" w:rsidRPr="009B0F55" w:rsidRDefault="00753FBD" w:rsidP="00753FBD">
            <w:pPr>
              <w:pStyle w:val="NoSpacing"/>
              <w:numPr>
                <w:ilvl w:val="1"/>
                <w:numId w:val="25"/>
              </w:numPr>
              <w:rPr>
                <w:rFonts w:eastAsia="Arial"/>
                <w:bCs/>
                <w:sz w:val="20"/>
                <w:szCs w:val="20"/>
              </w:rPr>
            </w:pPr>
            <w:r w:rsidRPr="009B0F55">
              <w:rPr>
                <w:rFonts w:eastAsia="Arial"/>
                <w:bCs/>
                <w:sz w:val="20"/>
                <w:szCs w:val="20"/>
              </w:rPr>
              <w:t>Phase 3 development, weekly induction followed by biweekly maintenance.</w:t>
            </w:r>
          </w:p>
          <w:p w14:paraId="476938DD" w14:textId="220C26D7" w:rsidR="00B057EF" w:rsidRPr="009B0F55" w:rsidRDefault="00753FBD" w:rsidP="00753FBD">
            <w:pPr>
              <w:pStyle w:val="NoSpacing"/>
              <w:numPr>
                <w:ilvl w:val="1"/>
                <w:numId w:val="25"/>
              </w:numPr>
              <w:rPr>
                <w:rFonts w:eastAsia="Arial"/>
                <w:bCs/>
                <w:sz w:val="20"/>
                <w:szCs w:val="20"/>
              </w:rPr>
            </w:pPr>
            <w:r w:rsidRPr="009B0F55">
              <w:rPr>
                <w:rFonts w:eastAsia="Arial"/>
                <w:bCs/>
                <w:sz w:val="20"/>
                <w:szCs w:val="20"/>
              </w:rPr>
              <w:t>Data not yet available. Approval may not occur until 2025</w:t>
            </w:r>
            <w:r w:rsidR="00733DAD" w:rsidRPr="009B0F55">
              <w:rPr>
                <w:rFonts w:eastAsia="Arial"/>
                <w:bCs/>
                <w:sz w:val="20"/>
                <w:szCs w:val="20"/>
              </w:rPr>
              <w:t>.</w:t>
            </w:r>
          </w:p>
          <w:p w14:paraId="649DB87A" w14:textId="64ECB723" w:rsidR="00B45482" w:rsidRPr="009B0F55" w:rsidRDefault="00B45482" w:rsidP="00B45482">
            <w:pPr>
              <w:pStyle w:val="NoSpacing"/>
              <w:numPr>
                <w:ilvl w:val="0"/>
                <w:numId w:val="25"/>
              </w:numPr>
              <w:rPr>
                <w:rFonts w:eastAsia="Arial"/>
                <w:bCs/>
                <w:sz w:val="20"/>
                <w:szCs w:val="20"/>
              </w:rPr>
            </w:pPr>
            <w:proofErr w:type="spellStart"/>
            <w:r w:rsidRPr="009B0F55">
              <w:rPr>
                <w:rFonts w:eastAsia="Arial"/>
                <w:bCs/>
                <w:sz w:val="20"/>
                <w:szCs w:val="20"/>
              </w:rPr>
              <w:t>Nipocalimab</w:t>
            </w:r>
            <w:proofErr w:type="spellEnd"/>
            <w:r w:rsidRPr="009B0F55">
              <w:rPr>
                <w:rFonts w:eastAsia="Arial"/>
                <w:bCs/>
                <w:sz w:val="20"/>
                <w:szCs w:val="20"/>
              </w:rPr>
              <w:t xml:space="preserve"> (Manufacturer: Janssen)</w:t>
            </w:r>
          </w:p>
          <w:p w14:paraId="11BB03E7" w14:textId="77777777" w:rsidR="00B45482" w:rsidRPr="009B0F55" w:rsidRDefault="00B45482" w:rsidP="00B45482">
            <w:pPr>
              <w:pStyle w:val="NoSpacing"/>
              <w:numPr>
                <w:ilvl w:val="1"/>
                <w:numId w:val="25"/>
              </w:numPr>
              <w:rPr>
                <w:rFonts w:eastAsia="Arial"/>
                <w:bCs/>
                <w:sz w:val="20"/>
                <w:szCs w:val="20"/>
              </w:rPr>
            </w:pPr>
            <w:r w:rsidRPr="009B0F55">
              <w:rPr>
                <w:rFonts w:eastAsia="Arial"/>
                <w:bCs/>
                <w:sz w:val="20"/>
                <w:szCs w:val="20"/>
              </w:rPr>
              <w:t xml:space="preserve">Adults with </w:t>
            </w:r>
            <w:proofErr w:type="spellStart"/>
            <w:r w:rsidRPr="009B0F55">
              <w:rPr>
                <w:rFonts w:eastAsia="Arial"/>
                <w:bCs/>
                <w:sz w:val="20"/>
                <w:szCs w:val="20"/>
              </w:rPr>
              <w:t>gMG</w:t>
            </w:r>
            <w:proofErr w:type="spellEnd"/>
          </w:p>
          <w:p w14:paraId="4E9177C1" w14:textId="77777777" w:rsidR="00B45482" w:rsidRPr="009B0F55" w:rsidRDefault="00B45482" w:rsidP="00B45482">
            <w:pPr>
              <w:pStyle w:val="NoSpacing"/>
              <w:numPr>
                <w:ilvl w:val="1"/>
                <w:numId w:val="25"/>
              </w:numPr>
              <w:rPr>
                <w:rFonts w:eastAsia="Arial"/>
                <w:bCs/>
                <w:sz w:val="20"/>
                <w:szCs w:val="20"/>
              </w:rPr>
            </w:pPr>
            <w:r w:rsidRPr="009B0F55">
              <w:rPr>
                <w:rFonts w:eastAsia="Arial"/>
                <w:bCs/>
                <w:sz w:val="20"/>
                <w:szCs w:val="20"/>
              </w:rPr>
              <w:t xml:space="preserve">IV infusion, HCP </w:t>
            </w:r>
            <w:proofErr w:type="gramStart"/>
            <w:r w:rsidRPr="009B0F55">
              <w:rPr>
                <w:rFonts w:eastAsia="Arial"/>
                <w:bCs/>
                <w:sz w:val="20"/>
                <w:szCs w:val="20"/>
              </w:rPr>
              <w:t>administered</w:t>
            </w:r>
            <w:proofErr w:type="gramEnd"/>
          </w:p>
          <w:p w14:paraId="3DAC01DA" w14:textId="2CCAE2C6" w:rsidR="00B45482" w:rsidRPr="009B0F55" w:rsidRDefault="00B45482" w:rsidP="00B45482">
            <w:pPr>
              <w:pStyle w:val="NoSpacing"/>
              <w:numPr>
                <w:ilvl w:val="1"/>
                <w:numId w:val="25"/>
              </w:numPr>
              <w:rPr>
                <w:rFonts w:eastAsia="Arial"/>
                <w:bCs/>
                <w:sz w:val="20"/>
                <w:szCs w:val="20"/>
              </w:rPr>
            </w:pPr>
            <w:r w:rsidRPr="009B0F55">
              <w:rPr>
                <w:rFonts w:eastAsia="Arial"/>
                <w:bCs/>
                <w:sz w:val="20"/>
                <w:szCs w:val="20"/>
              </w:rPr>
              <w:t>Phase 3 development, every-other-week administration.</w:t>
            </w:r>
          </w:p>
          <w:p w14:paraId="0ACFE0C4" w14:textId="589A7B9A" w:rsidR="00B45482" w:rsidRPr="009B0F55" w:rsidRDefault="00B45482" w:rsidP="00B45482">
            <w:pPr>
              <w:pStyle w:val="NoSpacing"/>
              <w:numPr>
                <w:ilvl w:val="1"/>
                <w:numId w:val="25"/>
              </w:numPr>
              <w:rPr>
                <w:rFonts w:eastAsia="Arial"/>
                <w:bCs/>
                <w:sz w:val="20"/>
                <w:szCs w:val="20"/>
              </w:rPr>
            </w:pPr>
            <w:r w:rsidRPr="009B0F55">
              <w:rPr>
                <w:rFonts w:eastAsia="Arial"/>
                <w:bCs/>
                <w:sz w:val="20"/>
                <w:szCs w:val="20"/>
              </w:rPr>
              <w:t>Trial planned for children 2 to less than 18 years of age.</w:t>
            </w:r>
          </w:p>
          <w:p w14:paraId="379FE4BE" w14:textId="5BF83B98" w:rsidR="00733DAD" w:rsidRDefault="00B45482" w:rsidP="00B45482">
            <w:pPr>
              <w:pStyle w:val="NoSpacing"/>
              <w:numPr>
                <w:ilvl w:val="1"/>
                <w:numId w:val="25"/>
              </w:numPr>
              <w:rPr>
                <w:rFonts w:eastAsia="Arial"/>
                <w:bCs/>
                <w:sz w:val="20"/>
                <w:szCs w:val="20"/>
              </w:rPr>
            </w:pPr>
            <w:r w:rsidRPr="009B0F55">
              <w:rPr>
                <w:rFonts w:eastAsia="Arial"/>
                <w:bCs/>
                <w:sz w:val="20"/>
                <w:szCs w:val="20"/>
              </w:rPr>
              <w:t>Data not yet available. Approval may not occur until 2025.</w:t>
            </w:r>
          </w:p>
          <w:p w14:paraId="4F9E88E6" w14:textId="77777777" w:rsidR="00FF3E6F" w:rsidRDefault="00FF3E6F" w:rsidP="00FF3E6F">
            <w:pPr>
              <w:pStyle w:val="NoSpacing"/>
              <w:rPr>
                <w:rFonts w:eastAsia="Arial"/>
                <w:bCs/>
                <w:sz w:val="20"/>
                <w:szCs w:val="20"/>
              </w:rPr>
            </w:pPr>
          </w:p>
          <w:p w14:paraId="67BA8389" w14:textId="77777777" w:rsidR="00FF3E6F" w:rsidRDefault="00FF3E6F" w:rsidP="00FF3E6F">
            <w:pPr>
              <w:pStyle w:val="NoSpacing"/>
              <w:rPr>
                <w:rFonts w:eastAsia="Arial"/>
                <w:b/>
                <w:sz w:val="20"/>
                <w:szCs w:val="20"/>
              </w:rPr>
            </w:pPr>
            <w:r>
              <w:rPr>
                <w:rFonts w:eastAsia="Arial"/>
                <w:b/>
                <w:sz w:val="20"/>
                <w:szCs w:val="20"/>
              </w:rPr>
              <w:t>Additional Information:</w:t>
            </w:r>
          </w:p>
          <w:p w14:paraId="5AC22E99" w14:textId="77777777" w:rsidR="00316C2B" w:rsidRDefault="0067480B" w:rsidP="00316C2B">
            <w:pPr>
              <w:pStyle w:val="NoSpacing"/>
              <w:numPr>
                <w:ilvl w:val="0"/>
                <w:numId w:val="41"/>
              </w:numPr>
              <w:rPr>
                <w:rFonts w:eastAsia="Arial"/>
                <w:b/>
                <w:sz w:val="20"/>
                <w:szCs w:val="20"/>
              </w:rPr>
            </w:pPr>
            <w:r>
              <w:rPr>
                <w:rFonts w:eastAsia="Arial"/>
                <w:bCs/>
                <w:sz w:val="20"/>
                <w:szCs w:val="20"/>
              </w:rPr>
              <w:t xml:space="preserve">Currently, MO HealthNet has </w:t>
            </w:r>
            <w:r w:rsidR="006C0267">
              <w:rPr>
                <w:rFonts w:eastAsia="Arial"/>
                <w:bCs/>
                <w:sz w:val="20"/>
                <w:szCs w:val="20"/>
              </w:rPr>
              <w:t xml:space="preserve">231 documented participants with </w:t>
            </w:r>
            <w:r w:rsidR="00C73DF9">
              <w:rPr>
                <w:rFonts w:eastAsia="Arial"/>
                <w:bCs/>
                <w:sz w:val="20"/>
                <w:szCs w:val="20"/>
              </w:rPr>
              <w:t>a primary diagnosis of</w:t>
            </w:r>
            <w:r w:rsidR="0010267E">
              <w:rPr>
                <w:rFonts w:eastAsia="Arial"/>
                <w:bCs/>
                <w:sz w:val="20"/>
                <w:szCs w:val="20"/>
              </w:rPr>
              <w:t xml:space="preserve"> Myasthenia Gravis for the calendar year 2022.</w:t>
            </w:r>
          </w:p>
          <w:p w14:paraId="4E618781" w14:textId="77777777" w:rsidR="00610468" w:rsidRPr="00610468" w:rsidRDefault="00763300" w:rsidP="00316C2B">
            <w:pPr>
              <w:pStyle w:val="NoSpacing"/>
              <w:numPr>
                <w:ilvl w:val="0"/>
                <w:numId w:val="41"/>
              </w:numPr>
              <w:rPr>
                <w:rFonts w:eastAsia="Arial"/>
                <w:b/>
                <w:sz w:val="20"/>
                <w:szCs w:val="20"/>
              </w:rPr>
            </w:pPr>
            <w:r>
              <w:rPr>
                <w:rFonts w:eastAsia="Arial"/>
                <w:bCs/>
                <w:sz w:val="20"/>
                <w:szCs w:val="20"/>
              </w:rPr>
              <w:t xml:space="preserve">Claims information for </w:t>
            </w:r>
            <w:proofErr w:type="spellStart"/>
            <w:r>
              <w:rPr>
                <w:rFonts w:eastAsia="Arial"/>
                <w:bCs/>
                <w:sz w:val="20"/>
                <w:szCs w:val="20"/>
              </w:rPr>
              <w:t>Vyvgart</w:t>
            </w:r>
            <w:proofErr w:type="spellEnd"/>
            <w:r w:rsidR="00610468">
              <w:rPr>
                <w:rFonts w:eastAsia="Arial"/>
                <w:bCs/>
                <w:sz w:val="20"/>
                <w:szCs w:val="20"/>
              </w:rPr>
              <w:t xml:space="preserve"> 1/01/2022 to 12/31/2022</w:t>
            </w:r>
          </w:p>
          <w:tbl>
            <w:tblPr>
              <w:tblStyle w:val="TableGrid"/>
              <w:tblW w:w="0" w:type="auto"/>
              <w:tblLayout w:type="fixed"/>
              <w:tblLook w:val="04A0" w:firstRow="1" w:lastRow="0" w:firstColumn="1" w:lastColumn="0" w:noHBand="0" w:noVBand="1"/>
            </w:tblPr>
            <w:tblGrid>
              <w:gridCol w:w="2032"/>
              <w:gridCol w:w="2032"/>
              <w:gridCol w:w="2032"/>
              <w:gridCol w:w="2032"/>
            </w:tblGrid>
            <w:tr w:rsidR="00DD3545" w14:paraId="6B38C117" w14:textId="77777777" w:rsidTr="00B724E4">
              <w:tc>
                <w:tcPr>
                  <w:tcW w:w="2032" w:type="dxa"/>
                  <w:shd w:val="clear" w:color="auto" w:fill="FABF8F" w:themeFill="accent6" w:themeFillTint="99"/>
                </w:tcPr>
                <w:p w14:paraId="7E775B56" w14:textId="3F760403" w:rsidR="00DD3545" w:rsidRPr="00A608D7" w:rsidRDefault="00DD3545" w:rsidP="00A608D7">
                  <w:pPr>
                    <w:pStyle w:val="ListParagraph"/>
                    <w:spacing w:after="0" w:line="240" w:lineRule="auto"/>
                    <w:ind w:left="0"/>
                    <w:jc w:val="center"/>
                    <w:rPr>
                      <w:rFonts w:ascii="Arial" w:eastAsia="Arial" w:hAnsi="Arial" w:cs="Arial"/>
                      <w:b/>
                      <w:bCs/>
                      <w:sz w:val="18"/>
                      <w:szCs w:val="18"/>
                    </w:rPr>
                  </w:pPr>
                  <w:r w:rsidRPr="00A608D7">
                    <w:rPr>
                      <w:rFonts w:ascii="Arial" w:eastAsia="Arial" w:hAnsi="Arial" w:cs="Arial"/>
                      <w:b/>
                      <w:bCs/>
                      <w:sz w:val="18"/>
                      <w:szCs w:val="18"/>
                    </w:rPr>
                    <w:lastRenderedPageBreak/>
                    <w:t>Drug</w:t>
                  </w:r>
                </w:p>
              </w:tc>
              <w:tc>
                <w:tcPr>
                  <w:tcW w:w="2032" w:type="dxa"/>
                  <w:shd w:val="clear" w:color="auto" w:fill="FABF8F" w:themeFill="accent6" w:themeFillTint="99"/>
                </w:tcPr>
                <w:p w14:paraId="43F7EC4D" w14:textId="56A77BFC" w:rsidR="00DD3545" w:rsidRPr="00A608D7" w:rsidRDefault="00DD3545" w:rsidP="00A608D7">
                  <w:pPr>
                    <w:pStyle w:val="ListParagraph"/>
                    <w:spacing w:after="0" w:line="240" w:lineRule="auto"/>
                    <w:ind w:left="0"/>
                    <w:jc w:val="center"/>
                    <w:rPr>
                      <w:rFonts w:ascii="Arial" w:eastAsia="Arial" w:hAnsi="Arial" w:cs="Arial"/>
                      <w:b/>
                      <w:bCs/>
                      <w:sz w:val="18"/>
                      <w:szCs w:val="18"/>
                    </w:rPr>
                  </w:pPr>
                  <w:r w:rsidRPr="00A608D7">
                    <w:rPr>
                      <w:rFonts w:ascii="Arial" w:eastAsia="Arial" w:hAnsi="Arial" w:cs="Arial"/>
                      <w:b/>
                      <w:bCs/>
                      <w:sz w:val="18"/>
                      <w:szCs w:val="18"/>
                    </w:rPr>
                    <w:t>Claims</w:t>
                  </w:r>
                </w:p>
              </w:tc>
              <w:tc>
                <w:tcPr>
                  <w:tcW w:w="2032" w:type="dxa"/>
                  <w:shd w:val="clear" w:color="auto" w:fill="FABF8F" w:themeFill="accent6" w:themeFillTint="99"/>
                </w:tcPr>
                <w:p w14:paraId="19311BC5" w14:textId="0A99FB04" w:rsidR="00DD3545" w:rsidRPr="00A608D7" w:rsidRDefault="00DD3545" w:rsidP="00A608D7">
                  <w:pPr>
                    <w:pStyle w:val="ListParagraph"/>
                    <w:spacing w:after="0" w:line="240" w:lineRule="auto"/>
                    <w:ind w:left="0"/>
                    <w:jc w:val="center"/>
                    <w:rPr>
                      <w:rFonts w:ascii="Arial" w:eastAsia="Arial" w:hAnsi="Arial" w:cs="Arial"/>
                      <w:b/>
                      <w:bCs/>
                      <w:sz w:val="18"/>
                      <w:szCs w:val="18"/>
                    </w:rPr>
                  </w:pPr>
                  <w:r w:rsidRPr="00A608D7">
                    <w:rPr>
                      <w:rFonts w:ascii="Arial" w:eastAsia="Arial" w:hAnsi="Arial" w:cs="Arial"/>
                      <w:b/>
                      <w:bCs/>
                      <w:sz w:val="18"/>
                      <w:szCs w:val="18"/>
                    </w:rPr>
                    <w:t>Spend</w:t>
                  </w:r>
                </w:p>
              </w:tc>
              <w:tc>
                <w:tcPr>
                  <w:tcW w:w="2032" w:type="dxa"/>
                  <w:shd w:val="clear" w:color="auto" w:fill="FABF8F" w:themeFill="accent6" w:themeFillTint="99"/>
                </w:tcPr>
                <w:p w14:paraId="0C030739" w14:textId="4A3DE7EC" w:rsidR="00DD3545" w:rsidRPr="00A608D7" w:rsidRDefault="00DD3545" w:rsidP="00A608D7">
                  <w:pPr>
                    <w:pStyle w:val="ListParagraph"/>
                    <w:spacing w:after="0" w:line="240" w:lineRule="auto"/>
                    <w:ind w:left="0"/>
                    <w:jc w:val="center"/>
                    <w:rPr>
                      <w:rFonts w:ascii="Arial" w:eastAsia="Arial" w:hAnsi="Arial" w:cs="Arial"/>
                      <w:b/>
                      <w:bCs/>
                      <w:sz w:val="18"/>
                      <w:szCs w:val="18"/>
                    </w:rPr>
                  </w:pPr>
                  <w:r w:rsidRPr="00A608D7">
                    <w:rPr>
                      <w:rFonts w:ascii="Arial" w:eastAsia="Arial" w:hAnsi="Arial" w:cs="Arial"/>
                      <w:b/>
                      <w:bCs/>
                      <w:sz w:val="18"/>
                      <w:szCs w:val="18"/>
                    </w:rPr>
                    <w:t>Avg Spend per Claim</w:t>
                  </w:r>
                </w:p>
              </w:tc>
            </w:tr>
            <w:tr w:rsidR="000A721E" w14:paraId="6B5C69DC" w14:textId="77777777" w:rsidTr="00DD3545">
              <w:tc>
                <w:tcPr>
                  <w:tcW w:w="2032" w:type="dxa"/>
                </w:tcPr>
                <w:p w14:paraId="7B546FB6" w14:textId="5A7C862D" w:rsidR="000A721E" w:rsidRPr="000A721E" w:rsidRDefault="000A721E" w:rsidP="008C4BC6">
                  <w:pPr>
                    <w:pStyle w:val="NoSpacing"/>
                    <w:jc w:val="center"/>
                    <w:rPr>
                      <w:rFonts w:eastAsia="Arial"/>
                      <w:bCs/>
                      <w:sz w:val="16"/>
                      <w:szCs w:val="16"/>
                    </w:rPr>
                  </w:pPr>
                  <w:proofErr w:type="spellStart"/>
                  <w:r w:rsidRPr="000A721E">
                    <w:rPr>
                      <w:rFonts w:eastAsia="Arial"/>
                      <w:bCs/>
                      <w:sz w:val="16"/>
                      <w:szCs w:val="16"/>
                    </w:rPr>
                    <w:t>Vyvgart</w:t>
                  </w:r>
                  <w:proofErr w:type="spellEnd"/>
                  <w:r w:rsidRPr="000A721E">
                    <w:rPr>
                      <w:rFonts w:eastAsia="Arial"/>
                      <w:bCs/>
                      <w:sz w:val="16"/>
                      <w:szCs w:val="16"/>
                    </w:rPr>
                    <w:t xml:space="preserve"> 400 mg/20 mL vial</w:t>
                  </w:r>
                </w:p>
              </w:tc>
              <w:tc>
                <w:tcPr>
                  <w:tcW w:w="2032" w:type="dxa"/>
                </w:tcPr>
                <w:p w14:paraId="714E89BB" w14:textId="4487293E" w:rsidR="000A721E" w:rsidRPr="000A721E" w:rsidRDefault="000A721E" w:rsidP="008C4BC6">
                  <w:pPr>
                    <w:pStyle w:val="NoSpacing"/>
                    <w:jc w:val="center"/>
                    <w:rPr>
                      <w:rFonts w:eastAsia="Arial"/>
                      <w:bCs/>
                      <w:sz w:val="16"/>
                      <w:szCs w:val="16"/>
                    </w:rPr>
                  </w:pPr>
                  <w:r w:rsidRPr="000A721E">
                    <w:rPr>
                      <w:rFonts w:eastAsia="Arial"/>
                      <w:bCs/>
                      <w:sz w:val="16"/>
                      <w:szCs w:val="16"/>
                    </w:rPr>
                    <w:t>40</w:t>
                  </w:r>
                </w:p>
              </w:tc>
              <w:tc>
                <w:tcPr>
                  <w:tcW w:w="2032" w:type="dxa"/>
                </w:tcPr>
                <w:p w14:paraId="6D06CB6F" w14:textId="146ABD31" w:rsidR="000A721E" w:rsidRPr="000A721E" w:rsidRDefault="000A721E" w:rsidP="008C4BC6">
                  <w:pPr>
                    <w:pStyle w:val="NoSpacing"/>
                    <w:jc w:val="center"/>
                    <w:rPr>
                      <w:rFonts w:eastAsia="Arial"/>
                      <w:bCs/>
                      <w:sz w:val="16"/>
                      <w:szCs w:val="16"/>
                    </w:rPr>
                  </w:pPr>
                  <w:r w:rsidRPr="000A721E">
                    <w:rPr>
                      <w:sz w:val="16"/>
                      <w:szCs w:val="16"/>
                    </w:rPr>
                    <w:t>$537,027</w:t>
                  </w:r>
                </w:p>
              </w:tc>
              <w:tc>
                <w:tcPr>
                  <w:tcW w:w="2032" w:type="dxa"/>
                </w:tcPr>
                <w:p w14:paraId="38B74EF2" w14:textId="1AFD37F5" w:rsidR="000A721E" w:rsidRPr="000A721E" w:rsidRDefault="000A721E" w:rsidP="008C4BC6">
                  <w:pPr>
                    <w:pStyle w:val="NoSpacing"/>
                    <w:jc w:val="center"/>
                    <w:rPr>
                      <w:rFonts w:eastAsia="Arial"/>
                      <w:bCs/>
                      <w:sz w:val="16"/>
                      <w:szCs w:val="16"/>
                    </w:rPr>
                  </w:pPr>
                  <w:r w:rsidRPr="000A721E">
                    <w:rPr>
                      <w:sz w:val="16"/>
                      <w:szCs w:val="16"/>
                    </w:rPr>
                    <w:t>$13,425</w:t>
                  </w:r>
                </w:p>
              </w:tc>
            </w:tr>
            <w:tr w:rsidR="00DD3545" w14:paraId="5AD25D01" w14:textId="77777777" w:rsidTr="00DD3545">
              <w:tc>
                <w:tcPr>
                  <w:tcW w:w="2032" w:type="dxa"/>
                </w:tcPr>
                <w:p w14:paraId="0700FB71" w14:textId="5D7F8DE6" w:rsidR="00DD3545" w:rsidRPr="000A721E" w:rsidRDefault="00056E2C" w:rsidP="008C4BC6">
                  <w:pPr>
                    <w:pStyle w:val="NoSpacing"/>
                    <w:jc w:val="center"/>
                    <w:rPr>
                      <w:rFonts w:eastAsia="Arial"/>
                      <w:bCs/>
                      <w:sz w:val="16"/>
                      <w:szCs w:val="16"/>
                    </w:rPr>
                  </w:pPr>
                  <w:proofErr w:type="spellStart"/>
                  <w:r w:rsidRPr="000A721E">
                    <w:rPr>
                      <w:rFonts w:eastAsia="Arial"/>
                      <w:bCs/>
                      <w:sz w:val="16"/>
                      <w:szCs w:val="16"/>
                    </w:rPr>
                    <w:t>Vyvgart</w:t>
                  </w:r>
                  <w:proofErr w:type="spellEnd"/>
                  <w:r w:rsidRPr="000A721E">
                    <w:rPr>
                      <w:rFonts w:eastAsia="Arial"/>
                      <w:bCs/>
                      <w:sz w:val="16"/>
                      <w:szCs w:val="16"/>
                    </w:rPr>
                    <w:t xml:space="preserve"> </w:t>
                  </w:r>
                  <w:proofErr w:type="spellStart"/>
                  <w:r w:rsidRPr="000A721E">
                    <w:rPr>
                      <w:rFonts w:eastAsia="Arial"/>
                      <w:bCs/>
                      <w:sz w:val="16"/>
                      <w:szCs w:val="16"/>
                    </w:rPr>
                    <w:t>Hytrulo</w:t>
                  </w:r>
                  <w:proofErr w:type="spellEnd"/>
                </w:p>
              </w:tc>
              <w:tc>
                <w:tcPr>
                  <w:tcW w:w="2032" w:type="dxa"/>
                </w:tcPr>
                <w:p w14:paraId="4BBAC071" w14:textId="7F586254" w:rsidR="00DD3545" w:rsidRPr="000A721E" w:rsidRDefault="000A721E" w:rsidP="008C4BC6">
                  <w:pPr>
                    <w:pStyle w:val="NoSpacing"/>
                    <w:jc w:val="center"/>
                    <w:rPr>
                      <w:rFonts w:eastAsia="Arial"/>
                      <w:bCs/>
                      <w:sz w:val="16"/>
                      <w:szCs w:val="16"/>
                    </w:rPr>
                  </w:pPr>
                  <w:r w:rsidRPr="000A721E">
                    <w:rPr>
                      <w:rFonts w:eastAsia="Arial"/>
                      <w:bCs/>
                      <w:sz w:val="16"/>
                      <w:szCs w:val="16"/>
                    </w:rPr>
                    <w:t>-</w:t>
                  </w:r>
                </w:p>
              </w:tc>
              <w:tc>
                <w:tcPr>
                  <w:tcW w:w="2032" w:type="dxa"/>
                </w:tcPr>
                <w:p w14:paraId="56759733" w14:textId="7CC136C9" w:rsidR="00DD3545" w:rsidRPr="000A721E" w:rsidRDefault="000A721E" w:rsidP="008C4BC6">
                  <w:pPr>
                    <w:pStyle w:val="NoSpacing"/>
                    <w:jc w:val="center"/>
                    <w:rPr>
                      <w:rFonts w:eastAsia="Arial"/>
                      <w:bCs/>
                      <w:sz w:val="16"/>
                      <w:szCs w:val="16"/>
                    </w:rPr>
                  </w:pPr>
                  <w:r w:rsidRPr="000A721E">
                    <w:rPr>
                      <w:rFonts w:eastAsia="Arial"/>
                      <w:bCs/>
                      <w:sz w:val="16"/>
                      <w:szCs w:val="16"/>
                    </w:rPr>
                    <w:t>-</w:t>
                  </w:r>
                </w:p>
              </w:tc>
              <w:tc>
                <w:tcPr>
                  <w:tcW w:w="2032" w:type="dxa"/>
                </w:tcPr>
                <w:p w14:paraId="78366BCC" w14:textId="1B5FAA0B" w:rsidR="00DD3545" w:rsidRPr="000A721E" w:rsidRDefault="000A721E" w:rsidP="008C4BC6">
                  <w:pPr>
                    <w:pStyle w:val="NoSpacing"/>
                    <w:jc w:val="center"/>
                    <w:rPr>
                      <w:rFonts w:eastAsia="Arial"/>
                      <w:bCs/>
                      <w:sz w:val="16"/>
                      <w:szCs w:val="16"/>
                    </w:rPr>
                  </w:pPr>
                  <w:r w:rsidRPr="000A721E">
                    <w:rPr>
                      <w:rFonts w:eastAsia="Arial"/>
                      <w:bCs/>
                      <w:sz w:val="16"/>
                      <w:szCs w:val="16"/>
                    </w:rPr>
                    <w:t>-</w:t>
                  </w:r>
                </w:p>
              </w:tc>
            </w:tr>
          </w:tbl>
          <w:p w14:paraId="4CAE8587" w14:textId="11680D0F" w:rsidR="000631AE" w:rsidRPr="00B9713B" w:rsidRDefault="00763300" w:rsidP="00790B4B">
            <w:pPr>
              <w:pStyle w:val="NoSpacing"/>
              <w:rPr>
                <w:rFonts w:eastAsia="Arial"/>
                <w:b/>
                <w:sz w:val="20"/>
                <w:szCs w:val="20"/>
              </w:rPr>
            </w:pPr>
            <w:r>
              <w:rPr>
                <w:rFonts w:eastAsia="Arial"/>
                <w:bCs/>
                <w:sz w:val="20"/>
                <w:szCs w:val="20"/>
              </w:rPr>
              <w:t xml:space="preserve"> </w:t>
            </w:r>
            <w:r w:rsidR="0010267E" w:rsidRPr="00316C2B">
              <w:rPr>
                <w:rFonts w:eastAsia="Arial"/>
                <w:bCs/>
                <w:sz w:val="20"/>
                <w:szCs w:val="20"/>
              </w:rPr>
              <w:t xml:space="preserve"> </w:t>
            </w:r>
          </w:p>
        </w:tc>
      </w:tr>
    </w:tbl>
    <w:p w14:paraId="558A3C48" w14:textId="77777777" w:rsidR="00790B4B" w:rsidRPr="00417F7D" w:rsidRDefault="00790B4B" w:rsidP="00B43216">
      <w:pPr>
        <w:rPr>
          <w:b/>
          <w:sz w:val="18"/>
          <w:szCs w:val="18"/>
          <w:u w:val="single"/>
        </w:rPr>
      </w:pPr>
    </w:p>
    <w:p w14:paraId="083D6434" w14:textId="6328933E" w:rsidR="00DD7B75" w:rsidRPr="00417F7D" w:rsidRDefault="00DD7B75" w:rsidP="00B43216">
      <w:pPr>
        <w:rPr>
          <w:b/>
          <w:sz w:val="18"/>
          <w:szCs w:val="18"/>
          <w:u w:val="single"/>
        </w:rPr>
      </w:pPr>
      <w:r w:rsidRPr="00417F7D">
        <w:rPr>
          <w:b/>
          <w:sz w:val="18"/>
          <w:szCs w:val="18"/>
          <w:u w:val="single"/>
        </w:rPr>
        <w:t>References:</w:t>
      </w:r>
    </w:p>
    <w:p w14:paraId="1B90B73E" w14:textId="77777777" w:rsidR="00FF14B2" w:rsidRDefault="000D0E2F" w:rsidP="00B555F9">
      <w:pPr>
        <w:pStyle w:val="ListParagraph"/>
        <w:numPr>
          <w:ilvl w:val="0"/>
          <w:numId w:val="25"/>
        </w:numPr>
        <w:rPr>
          <w:rFonts w:ascii="Arial" w:hAnsi="Arial" w:cs="Arial"/>
          <w:sz w:val="18"/>
          <w:szCs w:val="18"/>
          <w:shd w:val="clear" w:color="auto" w:fill="FFFFFF"/>
        </w:rPr>
      </w:pPr>
      <w:proofErr w:type="spellStart"/>
      <w:r>
        <w:rPr>
          <w:rFonts w:ascii="Arial" w:hAnsi="Arial" w:cs="Arial"/>
          <w:bCs/>
          <w:sz w:val="18"/>
          <w:szCs w:val="18"/>
          <w:shd w:val="clear" w:color="auto" w:fill="FFFFFF"/>
        </w:rPr>
        <w:t>Rystiggo</w:t>
      </w:r>
      <w:proofErr w:type="spellEnd"/>
      <w:r w:rsidR="00711AE6" w:rsidRPr="00417F7D">
        <w:rPr>
          <w:rFonts w:ascii="Arial" w:hAnsi="Arial" w:cs="Arial"/>
          <w:sz w:val="18"/>
          <w:szCs w:val="18"/>
          <w:shd w:val="clear" w:color="auto" w:fill="FFFFFF"/>
        </w:rPr>
        <w:t xml:space="preserve"> </w:t>
      </w:r>
      <w:r w:rsidR="00F35491" w:rsidRPr="00417F7D">
        <w:rPr>
          <w:rFonts w:ascii="Arial" w:hAnsi="Arial" w:cs="Arial"/>
          <w:sz w:val="18"/>
          <w:szCs w:val="18"/>
          <w:shd w:val="clear" w:color="auto" w:fill="FFFFFF"/>
        </w:rPr>
        <w:t xml:space="preserve">[package insert]. </w:t>
      </w:r>
      <w:r w:rsidR="00FC17ED">
        <w:rPr>
          <w:rFonts w:ascii="Arial" w:hAnsi="Arial" w:cs="Arial"/>
          <w:sz w:val="18"/>
          <w:szCs w:val="18"/>
          <w:shd w:val="clear" w:color="auto" w:fill="FFFFFF"/>
        </w:rPr>
        <w:t>Smyrna, GA: UCB, Inc.</w:t>
      </w:r>
      <w:r w:rsidR="00FF14B2">
        <w:rPr>
          <w:rFonts w:ascii="Arial" w:hAnsi="Arial" w:cs="Arial"/>
          <w:sz w:val="18"/>
          <w:szCs w:val="18"/>
          <w:shd w:val="clear" w:color="auto" w:fill="FFFFFF"/>
        </w:rPr>
        <w:t>; June 2023.</w:t>
      </w:r>
    </w:p>
    <w:p w14:paraId="365EF1F1" w14:textId="47F9F254" w:rsidR="00864BD6" w:rsidRPr="00864BD6" w:rsidRDefault="00864BD6" w:rsidP="00864BD6">
      <w:pPr>
        <w:pStyle w:val="ListParagraph"/>
        <w:numPr>
          <w:ilvl w:val="0"/>
          <w:numId w:val="25"/>
        </w:numPr>
        <w:rPr>
          <w:rFonts w:ascii="Arial" w:hAnsi="Arial" w:cs="Arial"/>
          <w:sz w:val="18"/>
          <w:szCs w:val="18"/>
          <w:shd w:val="clear" w:color="auto" w:fill="FFFFFF"/>
        </w:rPr>
      </w:pPr>
      <w:r w:rsidRPr="00864BD6">
        <w:rPr>
          <w:rFonts w:ascii="Arial" w:hAnsi="Arial" w:cs="Arial"/>
          <w:sz w:val="18"/>
          <w:szCs w:val="18"/>
          <w:shd w:val="clear" w:color="auto" w:fill="FFFFFF"/>
        </w:rPr>
        <w:t>IPD analytics. New drug review.</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Rystiggo</w:t>
      </w:r>
      <w:proofErr w:type="spellEnd"/>
      <w:r>
        <w:rPr>
          <w:rFonts w:ascii="Arial" w:hAnsi="Arial" w:cs="Arial"/>
          <w:sz w:val="18"/>
          <w:szCs w:val="18"/>
          <w:shd w:val="clear" w:color="auto" w:fill="FFFFFF"/>
        </w:rPr>
        <w:t xml:space="preserve"> </w:t>
      </w:r>
      <w:r w:rsidRPr="00864BD6">
        <w:rPr>
          <w:rFonts w:ascii="Arial" w:hAnsi="Arial" w:cs="Arial"/>
          <w:sz w:val="18"/>
          <w:szCs w:val="18"/>
          <w:shd w:val="clear" w:color="auto" w:fill="FFFFFF"/>
        </w:rPr>
        <w:t>(</w:t>
      </w:r>
      <w:proofErr w:type="spellStart"/>
      <w:r w:rsidR="00332855" w:rsidRPr="00332855">
        <w:rPr>
          <w:rFonts w:ascii="Arial" w:hAnsi="Arial" w:cs="Arial"/>
          <w:sz w:val="18"/>
          <w:szCs w:val="18"/>
          <w:shd w:val="clear" w:color="auto" w:fill="FFFFFF"/>
        </w:rPr>
        <w:t>rozanolixizumab-noli</w:t>
      </w:r>
      <w:proofErr w:type="spellEnd"/>
      <w:r w:rsidRPr="00864BD6">
        <w:rPr>
          <w:rFonts w:ascii="Arial" w:hAnsi="Arial" w:cs="Arial"/>
          <w:sz w:val="18"/>
          <w:szCs w:val="18"/>
          <w:shd w:val="clear" w:color="auto" w:fill="FFFFFF"/>
        </w:rPr>
        <w:t xml:space="preserve">). </w:t>
      </w:r>
      <w:r w:rsidR="00E45E6B">
        <w:rPr>
          <w:rFonts w:ascii="Arial" w:hAnsi="Arial" w:cs="Arial"/>
          <w:sz w:val="18"/>
          <w:szCs w:val="18"/>
          <w:shd w:val="clear" w:color="auto" w:fill="FFFFFF"/>
        </w:rPr>
        <w:t>August</w:t>
      </w:r>
      <w:r w:rsidRPr="00864BD6">
        <w:rPr>
          <w:rFonts w:ascii="Arial" w:hAnsi="Arial" w:cs="Arial"/>
          <w:sz w:val="18"/>
          <w:szCs w:val="18"/>
          <w:shd w:val="clear" w:color="auto" w:fill="FFFFFF"/>
        </w:rPr>
        <w:t xml:space="preserve"> 2023. </w:t>
      </w:r>
    </w:p>
    <w:p w14:paraId="67B862E8" w14:textId="6E230AA2" w:rsidR="00367EFF" w:rsidRDefault="00B16E29" w:rsidP="0075048E">
      <w:pPr>
        <w:pStyle w:val="ListParagraph"/>
        <w:numPr>
          <w:ilvl w:val="0"/>
          <w:numId w:val="25"/>
        </w:numPr>
        <w:rPr>
          <w:rFonts w:ascii="Arial" w:hAnsi="Arial" w:cs="Arial"/>
          <w:sz w:val="18"/>
          <w:szCs w:val="18"/>
          <w:shd w:val="clear" w:color="auto" w:fill="FFFFFF"/>
        </w:rPr>
      </w:pPr>
      <w:r w:rsidRPr="00367EFF">
        <w:rPr>
          <w:rFonts w:ascii="Arial" w:hAnsi="Arial" w:cs="Arial"/>
          <w:sz w:val="18"/>
          <w:szCs w:val="18"/>
          <w:shd w:val="clear" w:color="auto" w:fill="FFFFFF"/>
        </w:rPr>
        <w:t xml:space="preserve">Bird SJ. </w:t>
      </w:r>
      <w:r w:rsidR="007A02CA" w:rsidRPr="00367EFF">
        <w:rPr>
          <w:rFonts w:ascii="Arial" w:hAnsi="Arial" w:cs="Arial"/>
          <w:sz w:val="18"/>
          <w:szCs w:val="18"/>
          <w:shd w:val="clear" w:color="auto" w:fill="FFFFFF"/>
        </w:rPr>
        <w:t>Overview</w:t>
      </w:r>
      <w:r w:rsidRPr="00367EFF">
        <w:rPr>
          <w:rFonts w:ascii="Arial" w:hAnsi="Arial" w:cs="Arial"/>
          <w:sz w:val="18"/>
          <w:szCs w:val="18"/>
          <w:shd w:val="clear" w:color="auto" w:fill="FFFFFF"/>
        </w:rPr>
        <w:t xml:space="preserve"> of </w:t>
      </w:r>
      <w:r w:rsidR="007A02CA" w:rsidRPr="00367EFF">
        <w:rPr>
          <w:rFonts w:ascii="Arial" w:hAnsi="Arial" w:cs="Arial"/>
          <w:sz w:val="18"/>
          <w:szCs w:val="18"/>
          <w:shd w:val="clear" w:color="auto" w:fill="FFFFFF"/>
        </w:rPr>
        <w:t xml:space="preserve">the treatment of </w:t>
      </w:r>
      <w:r w:rsidRPr="00367EFF">
        <w:rPr>
          <w:rFonts w:ascii="Arial" w:hAnsi="Arial" w:cs="Arial"/>
          <w:sz w:val="18"/>
          <w:szCs w:val="18"/>
          <w:shd w:val="clear" w:color="auto" w:fill="FFFFFF"/>
        </w:rPr>
        <w:t xml:space="preserve">myasthenia gravis. UpToDate. </w:t>
      </w:r>
      <w:r w:rsidR="00173C2B" w:rsidRPr="00173C2B">
        <w:rPr>
          <w:rFonts w:ascii="Arial" w:hAnsi="Arial" w:cs="Arial"/>
          <w:sz w:val="18"/>
          <w:szCs w:val="18"/>
          <w:shd w:val="clear" w:color="auto" w:fill="FFFFFF"/>
        </w:rPr>
        <w:t>https://www.uptodate.com/contents/overview-of-the-treatment-of-myasthenia-gravis</w:t>
      </w:r>
      <w:r w:rsidR="00173C2B">
        <w:rPr>
          <w:rFonts w:ascii="Arial" w:hAnsi="Arial" w:cs="Arial"/>
          <w:sz w:val="18"/>
          <w:szCs w:val="18"/>
          <w:shd w:val="clear" w:color="auto" w:fill="FFFFFF"/>
        </w:rPr>
        <w:t xml:space="preserve">. </w:t>
      </w:r>
      <w:r w:rsidRPr="00367EFF">
        <w:rPr>
          <w:rFonts w:ascii="Arial" w:hAnsi="Arial" w:cs="Arial"/>
          <w:sz w:val="18"/>
          <w:szCs w:val="18"/>
          <w:shd w:val="clear" w:color="auto" w:fill="FFFFFF"/>
        </w:rPr>
        <w:t xml:space="preserve">Updated </w:t>
      </w:r>
      <w:r w:rsidR="007A02CA" w:rsidRPr="00367EFF">
        <w:rPr>
          <w:rFonts w:ascii="Arial" w:hAnsi="Arial" w:cs="Arial"/>
          <w:sz w:val="18"/>
          <w:szCs w:val="18"/>
          <w:shd w:val="clear" w:color="auto" w:fill="FFFFFF"/>
        </w:rPr>
        <w:t>August</w:t>
      </w:r>
      <w:r w:rsidRPr="00367EFF">
        <w:rPr>
          <w:rFonts w:ascii="Arial" w:hAnsi="Arial" w:cs="Arial"/>
          <w:sz w:val="18"/>
          <w:szCs w:val="18"/>
          <w:shd w:val="clear" w:color="auto" w:fill="FFFFFF"/>
        </w:rPr>
        <w:t xml:space="preserve"> 2023. Accessed August </w:t>
      </w:r>
      <w:r w:rsidR="00C066B3" w:rsidRPr="00367EFF">
        <w:rPr>
          <w:rFonts w:ascii="Arial" w:hAnsi="Arial" w:cs="Arial"/>
          <w:sz w:val="18"/>
          <w:szCs w:val="18"/>
          <w:shd w:val="clear" w:color="auto" w:fill="FFFFFF"/>
        </w:rPr>
        <w:t>11</w:t>
      </w:r>
      <w:r w:rsidRPr="00367EFF">
        <w:rPr>
          <w:rFonts w:ascii="Arial" w:hAnsi="Arial" w:cs="Arial"/>
          <w:sz w:val="18"/>
          <w:szCs w:val="18"/>
          <w:shd w:val="clear" w:color="auto" w:fill="FFFFFF"/>
        </w:rPr>
        <w:t xml:space="preserve">, 2023. </w:t>
      </w:r>
    </w:p>
    <w:p w14:paraId="47922045" w14:textId="0B53C42D" w:rsidR="00F35491" w:rsidRPr="000259C6" w:rsidRDefault="00855E97" w:rsidP="000259C6">
      <w:pPr>
        <w:pStyle w:val="ListParagraph"/>
        <w:numPr>
          <w:ilvl w:val="0"/>
          <w:numId w:val="25"/>
        </w:numPr>
        <w:rPr>
          <w:rFonts w:ascii="Arial" w:hAnsi="Arial" w:cs="Arial"/>
          <w:sz w:val="18"/>
          <w:szCs w:val="18"/>
          <w:shd w:val="clear" w:color="auto" w:fill="FFFFFF"/>
        </w:rPr>
      </w:pPr>
      <w:r w:rsidRPr="00855E97">
        <w:rPr>
          <w:rFonts w:ascii="Arial" w:hAnsi="Arial" w:cs="Arial"/>
          <w:sz w:val="18"/>
          <w:szCs w:val="18"/>
          <w:shd w:val="clear" w:color="auto" w:fill="FFFFFF"/>
        </w:rPr>
        <w:t>Narayanaswami P, Sanders DB, Wolfe G, et al. International Consensus Guidance for Management of Myasthenia Gravis: 2020 Update. Neurology. 2021;96(3):114-122. doi:10.1212/WNL.0000000000011124</w:t>
      </w:r>
    </w:p>
    <w:sectPr w:rsidR="00F35491" w:rsidRPr="000259C6" w:rsidSect="00A43F2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5C3E" w14:textId="77777777" w:rsidR="00E21AC2" w:rsidRDefault="00E21AC2" w:rsidP="003F2BC8">
      <w:r>
        <w:separator/>
      </w:r>
    </w:p>
  </w:endnote>
  <w:endnote w:type="continuationSeparator" w:id="0">
    <w:p w14:paraId="669535D6" w14:textId="77777777" w:rsidR="00E21AC2" w:rsidRDefault="00E21AC2" w:rsidP="003F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F020" w14:textId="77777777" w:rsidR="00F4746D" w:rsidRDefault="00F47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F082" w14:textId="54AC4E9C" w:rsidR="00FD3D55" w:rsidRPr="00717928" w:rsidRDefault="00717928" w:rsidP="00386897">
    <w:pPr>
      <w:pStyle w:val="Footer"/>
      <w:tabs>
        <w:tab w:val="right" w:pos="7920"/>
      </w:tabs>
      <w:rPr>
        <w:sz w:val="16"/>
        <w:szCs w:val="16"/>
      </w:rPr>
    </w:pPr>
    <w:r w:rsidRPr="005407A9">
      <w:rPr>
        <w:sz w:val="16"/>
        <w:szCs w:val="16"/>
      </w:rPr>
      <w:t>©2023 Conduent Business Services, LLC. All rights reserved. Conduent and Conduent Agile Star are trademarks of Conduent Business Services, LLC in the United States and/or other countries. Other company trademarks are also acknowledged. Disclaimer: The clinical summary and criteria provided are for informational purposes only and not to be used to make decisions on treatment therapy, clinical decisions, or a replacement for the advice of a medical professional.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EB1C" w14:textId="77777777" w:rsidR="00F4746D" w:rsidRDefault="00F4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C20C" w14:textId="77777777" w:rsidR="00E21AC2" w:rsidRDefault="00E21AC2" w:rsidP="003F2BC8">
      <w:r>
        <w:separator/>
      </w:r>
    </w:p>
  </w:footnote>
  <w:footnote w:type="continuationSeparator" w:id="0">
    <w:p w14:paraId="08CE0FF0" w14:textId="77777777" w:rsidR="00E21AC2" w:rsidRDefault="00E21AC2" w:rsidP="003F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6E1A" w14:textId="0889CEF3" w:rsidR="00F4746D" w:rsidRDefault="00F4746D">
    <w:pPr>
      <w:pStyle w:val="Header"/>
    </w:pPr>
    <w:r>
      <w:rPr>
        <w:noProof/>
      </w:rPr>
      <w:pict w14:anchorId="0F389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31829" o:spid="_x0000_s1026" type="#_x0000_t136" style="position:absolute;margin-left:0;margin-top:0;width:543.8pt;height:217.5pt;rotation:315;z-index:-251653120;mso-position-horizontal:center;mso-position-horizontal-relative:margin;mso-position-vertical:center;mso-position-vertical-relative:margin" o:allowincell="f" fillcolor="#8db3e2 [1311]"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F908" w14:textId="04E32F65" w:rsidR="00F35491" w:rsidRDefault="00F4746D">
    <w:pPr>
      <w:pStyle w:val="Header"/>
    </w:pPr>
    <w:r>
      <w:rPr>
        <w:noProof/>
      </w:rPr>
      <w:pict w14:anchorId="610B2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31830" o:spid="_x0000_s1027" type="#_x0000_t136" style="position:absolute;margin-left:0;margin-top:0;width:543.8pt;height:217.5pt;rotation:315;z-index:-251651072;mso-position-horizontal:center;mso-position-horizontal-relative:margin;mso-position-vertical:center;mso-position-vertical-relative:margin" o:allowincell="f" fillcolor="#8db3e2 [1311]" stroked="f">
          <v:fill opacity=".5"/>
          <v:textpath style="font-family:&quot;Arial&quot;;font-size:1pt" string="DRAFT"/>
        </v:shape>
      </w:pict>
    </w:r>
  </w:p>
  <w:p w14:paraId="08BDF07F" w14:textId="77777777" w:rsidR="003F2BC8" w:rsidRDefault="003F2BC8">
    <w:pPr>
      <w:pStyle w:val="Header"/>
    </w:pPr>
    <w:r>
      <w:rPr>
        <w:noProof/>
      </w:rPr>
      <w:drawing>
        <wp:anchor distT="0" distB="0" distL="114300" distR="114300" simplePos="0" relativeHeight="251659264" behindDoc="0" locked="0" layoutInCell="1" allowOverlap="1" wp14:anchorId="08BDF084" wp14:editId="72290096">
          <wp:simplePos x="0" y="0"/>
          <wp:positionH relativeFrom="page">
            <wp:posOffset>4897755</wp:posOffset>
          </wp:positionH>
          <wp:positionV relativeFrom="page">
            <wp:align>top</wp:align>
          </wp:positionV>
          <wp:extent cx="2247900" cy="823595"/>
          <wp:effectExtent l="0" t="0" r="0" b="0"/>
          <wp:wrapNone/>
          <wp:docPr id="9" name="Picture 9"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95EC" w14:textId="1300E366" w:rsidR="00F4746D" w:rsidRDefault="00F4746D">
    <w:pPr>
      <w:pStyle w:val="Header"/>
    </w:pPr>
    <w:r>
      <w:rPr>
        <w:noProof/>
      </w:rPr>
      <w:pict w14:anchorId="43E71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31828" o:spid="_x0000_s1025" type="#_x0000_t136" style="position:absolute;margin-left:0;margin-top:0;width:543.8pt;height:217.5pt;rotation:315;z-index:-251655168;mso-position-horizontal:center;mso-position-horizontal-relative:margin;mso-position-vertical:center;mso-position-vertical-relative:margin" o:allowincell="f" fillcolor="#8db3e2 [1311]"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784"/>
    <w:multiLevelType w:val="hybridMultilevel"/>
    <w:tmpl w:val="3918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5520C"/>
    <w:multiLevelType w:val="hybridMultilevel"/>
    <w:tmpl w:val="A284336C"/>
    <w:lvl w:ilvl="0" w:tplc="CCB619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A1DBF"/>
    <w:multiLevelType w:val="hybridMultilevel"/>
    <w:tmpl w:val="9FC23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239E7"/>
    <w:multiLevelType w:val="hybridMultilevel"/>
    <w:tmpl w:val="2D9AE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A04A5"/>
    <w:multiLevelType w:val="hybridMultilevel"/>
    <w:tmpl w:val="5D0C2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264B7"/>
    <w:multiLevelType w:val="hybridMultilevel"/>
    <w:tmpl w:val="CDE2E53E"/>
    <w:lvl w:ilvl="0" w:tplc="168C7A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B3BCD"/>
    <w:multiLevelType w:val="hybridMultilevel"/>
    <w:tmpl w:val="06FE8D38"/>
    <w:lvl w:ilvl="0" w:tplc="0122C21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E34B8"/>
    <w:multiLevelType w:val="hybridMultilevel"/>
    <w:tmpl w:val="5FB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13A39"/>
    <w:multiLevelType w:val="hybridMultilevel"/>
    <w:tmpl w:val="CA2A4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F6491"/>
    <w:multiLevelType w:val="hybridMultilevel"/>
    <w:tmpl w:val="A69EA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13988"/>
    <w:multiLevelType w:val="hybridMultilevel"/>
    <w:tmpl w:val="BBB47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C404A"/>
    <w:multiLevelType w:val="hybridMultilevel"/>
    <w:tmpl w:val="539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2E1E"/>
    <w:multiLevelType w:val="hybridMultilevel"/>
    <w:tmpl w:val="24DC8F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0F4C88"/>
    <w:multiLevelType w:val="hybridMultilevel"/>
    <w:tmpl w:val="8A9AB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D5DFC"/>
    <w:multiLevelType w:val="hybridMultilevel"/>
    <w:tmpl w:val="B05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A0576"/>
    <w:multiLevelType w:val="hybridMultilevel"/>
    <w:tmpl w:val="9C2E2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545732"/>
    <w:multiLevelType w:val="hybridMultilevel"/>
    <w:tmpl w:val="FD4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2795"/>
    <w:multiLevelType w:val="hybridMultilevel"/>
    <w:tmpl w:val="109A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C53FF"/>
    <w:multiLevelType w:val="hybridMultilevel"/>
    <w:tmpl w:val="6F324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561940"/>
    <w:multiLevelType w:val="hybridMultilevel"/>
    <w:tmpl w:val="6ABE926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0C1751D"/>
    <w:multiLevelType w:val="hybridMultilevel"/>
    <w:tmpl w:val="7390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646A3D"/>
    <w:multiLevelType w:val="hybridMultilevel"/>
    <w:tmpl w:val="EF38C50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1ED5A72"/>
    <w:multiLevelType w:val="hybridMultilevel"/>
    <w:tmpl w:val="00C85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320DCC"/>
    <w:multiLevelType w:val="hybridMultilevel"/>
    <w:tmpl w:val="8C66C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C80F17"/>
    <w:multiLevelType w:val="hybridMultilevel"/>
    <w:tmpl w:val="25E67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1553DC"/>
    <w:multiLevelType w:val="hybridMultilevel"/>
    <w:tmpl w:val="9460A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D73A27"/>
    <w:multiLevelType w:val="hybridMultilevel"/>
    <w:tmpl w:val="AB6A71D4"/>
    <w:lvl w:ilvl="0" w:tplc="BC78D316">
      <w:numFmt w:val="bullet"/>
      <w:lvlText w:val="-"/>
      <w:lvlJc w:val="left"/>
      <w:pPr>
        <w:ind w:left="360" w:hanging="360"/>
      </w:pPr>
      <w:rPr>
        <w:rFonts w:ascii="Arial" w:eastAsia="Arial"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457398"/>
    <w:multiLevelType w:val="hybridMultilevel"/>
    <w:tmpl w:val="B100F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32637"/>
    <w:multiLevelType w:val="hybridMultilevel"/>
    <w:tmpl w:val="25629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DF0175"/>
    <w:multiLevelType w:val="hybridMultilevel"/>
    <w:tmpl w:val="1C8C8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FA6F3E"/>
    <w:multiLevelType w:val="hybridMultilevel"/>
    <w:tmpl w:val="0562CA04"/>
    <w:lvl w:ilvl="0" w:tplc="DA0C89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675AD"/>
    <w:multiLevelType w:val="hybridMultilevel"/>
    <w:tmpl w:val="62F4A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C876F3"/>
    <w:multiLevelType w:val="hybridMultilevel"/>
    <w:tmpl w:val="37807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72766E"/>
    <w:multiLevelType w:val="hybridMultilevel"/>
    <w:tmpl w:val="998E60B4"/>
    <w:lvl w:ilvl="0" w:tplc="23A623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63F30"/>
    <w:multiLevelType w:val="hybridMultilevel"/>
    <w:tmpl w:val="96769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AD4824"/>
    <w:multiLevelType w:val="hybridMultilevel"/>
    <w:tmpl w:val="27507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1D76DB"/>
    <w:multiLevelType w:val="hybridMultilevel"/>
    <w:tmpl w:val="0BEEE4D0"/>
    <w:lvl w:ilvl="0" w:tplc="13AE4B0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31853"/>
    <w:multiLevelType w:val="hybridMultilevel"/>
    <w:tmpl w:val="9AE6D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565BCF"/>
    <w:multiLevelType w:val="hybridMultilevel"/>
    <w:tmpl w:val="CFBC1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083CF8"/>
    <w:multiLevelType w:val="hybridMultilevel"/>
    <w:tmpl w:val="483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B4273"/>
    <w:multiLevelType w:val="hybridMultilevel"/>
    <w:tmpl w:val="56CEABF6"/>
    <w:lvl w:ilvl="0" w:tplc="13AE4B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84827">
    <w:abstractNumId w:val="33"/>
  </w:num>
  <w:num w:numId="2" w16cid:durableId="1796674665">
    <w:abstractNumId w:val="27"/>
  </w:num>
  <w:num w:numId="3" w16cid:durableId="1251812681">
    <w:abstractNumId w:val="39"/>
  </w:num>
  <w:num w:numId="4" w16cid:durableId="247428681">
    <w:abstractNumId w:val="17"/>
  </w:num>
  <w:num w:numId="5" w16cid:durableId="1170877225">
    <w:abstractNumId w:val="11"/>
  </w:num>
  <w:num w:numId="6" w16cid:durableId="1924221419">
    <w:abstractNumId w:val="14"/>
  </w:num>
  <w:num w:numId="7" w16cid:durableId="1234050459">
    <w:abstractNumId w:val="5"/>
  </w:num>
  <w:num w:numId="8" w16cid:durableId="284850153">
    <w:abstractNumId w:val="1"/>
  </w:num>
  <w:num w:numId="9" w16cid:durableId="74937450">
    <w:abstractNumId w:val="31"/>
  </w:num>
  <w:num w:numId="10" w16cid:durableId="2072189862">
    <w:abstractNumId w:val="23"/>
  </w:num>
  <w:num w:numId="11" w16cid:durableId="406078072">
    <w:abstractNumId w:val="22"/>
  </w:num>
  <w:num w:numId="12" w16cid:durableId="1032224690">
    <w:abstractNumId w:val="21"/>
  </w:num>
  <w:num w:numId="13" w16cid:durableId="1726023326">
    <w:abstractNumId w:val="7"/>
  </w:num>
  <w:num w:numId="14" w16cid:durableId="579868955">
    <w:abstractNumId w:val="16"/>
  </w:num>
  <w:num w:numId="15" w16cid:durableId="295137924">
    <w:abstractNumId w:val="0"/>
  </w:num>
  <w:num w:numId="16" w16cid:durableId="1680737934">
    <w:abstractNumId w:val="29"/>
  </w:num>
  <w:num w:numId="17" w16cid:durableId="671687498">
    <w:abstractNumId w:val="35"/>
  </w:num>
  <w:num w:numId="18" w16cid:durableId="1050307134">
    <w:abstractNumId w:val="2"/>
  </w:num>
  <w:num w:numId="19" w16cid:durableId="873544093">
    <w:abstractNumId w:val="13"/>
  </w:num>
  <w:num w:numId="20" w16cid:durableId="1356692046">
    <w:abstractNumId w:val="10"/>
  </w:num>
  <w:num w:numId="21" w16cid:durableId="1856338039">
    <w:abstractNumId w:val="6"/>
  </w:num>
  <w:num w:numId="22" w16cid:durableId="254679606">
    <w:abstractNumId w:val="30"/>
  </w:num>
  <w:num w:numId="23" w16cid:durableId="962268640">
    <w:abstractNumId w:val="40"/>
  </w:num>
  <w:num w:numId="24" w16cid:durableId="982154835">
    <w:abstractNumId w:val="36"/>
  </w:num>
  <w:num w:numId="25" w16cid:durableId="409161487">
    <w:abstractNumId w:val="28"/>
  </w:num>
  <w:num w:numId="26" w16cid:durableId="552154416">
    <w:abstractNumId w:val="20"/>
  </w:num>
  <w:num w:numId="27" w16cid:durableId="671763935">
    <w:abstractNumId w:val="12"/>
  </w:num>
  <w:num w:numId="28" w16cid:durableId="1485855734">
    <w:abstractNumId w:val="19"/>
  </w:num>
  <w:num w:numId="29" w16cid:durableId="1798253117">
    <w:abstractNumId w:val="9"/>
  </w:num>
  <w:num w:numId="30" w16cid:durableId="932857693">
    <w:abstractNumId w:val="3"/>
  </w:num>
  <w:num w:numId="31" w16cid:durableId="1830711743">
    <w:abstractNumId w:val="38"/>
  </w:num>
  <w:num w:numId="32" w16cid:durableId="351685335">
    <w:abstractNumId w:val="24"/>
  </w:num>
  <w:num w:numId="33" w16cid:durableId="1007251758">
    <w:abstractNumId w:val="26"/>
  </w:num>
  <w:num w:numId="34" w16cid:durableId="1531644443">
    <w:abstractNumId w:val="25"/>
  </w:num>
  <w:num w:numId="35" w16cid:durableId="660425975">
    <w:abstractNumId w:val="32"/>
  </w:num>
  <w:num w:numId="36" w16cid:durableId="1008017770">
    <w:abstractNumId w:val="4"/>
  </w:num>
  <w:num w:numId="37" w16cid:durableId="1108160806">
    <w:abstractNumId w:val="15"/>
  </w:num>
  <w:num w:numId="38" w16cid:durableId="1504979517">
    <w:abstractNumId w:val="8"/>
  </w:num>
  <w:num w:numId="39" w16cid:durableId="2029675169">
    <w:abstractNumId w:val="37"/>
  </w:num>
  <w:num w:numId="40" w16cid:durableId="987057262">
    <w:abstractNumId w:val="34"/>
  </w:num>
  <w:num w:numId="41" w16cid:durableId="571233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C8"/>
    <w:rsid w:val="0000306D"/>
    <w:rsid w:val="000133CA"/>
    <w:rsid w:val="000221E4"/>
    <w:rsid w:val="000259C6"/>
    <w:rsid w:val="00030013"/>
    <w:rsid w:val="00031D3C"/>
    <w:rsid w:val="00032D70"/>
    <w:rsid w:val="00054A9C"/>
    <w:rsid w:val="00055EBE"/>
    <w:rsid w:val="00056E2C"/>
    <w:rsid w:val="000602EE"/>
    <w:rsid w:val="000615F8"/>
    <w:rsid w:val="000631AE"/>
    <w:rsid w:val="00064366"/>
    <w:rsid w:val="00066055"/>
    <w:rsid w:val="00071B58"/>
    <w:rsid w:val="00073C85"/>
    <w:rsid w:val="00075767"/>
    <w:rsid w:val="000777AF"/>
    <w:rsid w:val="00081402"/>
    <w:rsid w:val="000834B6"/>
    <w:rsid w:val="000861F3"/>
    <w:rsid w:val="00087FDE"/>
    <w:rsid w:val="00091482"/>
    <w:rsid w:val="00091E4F"/>
    <w:rsid w:val="00092542"/>
    <w:rsid w:val="000A00CC"/>
    <w:rsid w:val="000A340E"/>
    <w:rsid w:val="000A4A2D"/>
    <w:rsid w:val="000A528D"/>
    <w:rsid w:val="000A721E"/>
    <w:rsid w:val="000A7853"/>
    <w:rsid w:val="000B1B77"/>
    <w:rsid w:val="000B2FDA"/>
    <w:rsid w:val="000B4577"/>
    <w:rsid w:val="000B462D"/>
    <w:rsid w:val="000B4D14"/>
    <w:rsid w:val="000C6088"/>
    <w:rsid w:val="000C7FBC"/>
    <w:rsid w:val="000D04F7"/>
    <w:rsid w:val="000D0E2F"/>
    <w:rsid w:val="000D191A"/>
    <w:rsid w:val="000D1DC4"/>
    <w:rsid w:val="000D30D5"/>
    <w:rsid w:val="000D6285"/>
    <w:rsid w:val="000D66CB"/>
    <w:rsid w:val="000D7144"/>
    <w:rsid w:val="000E0DCD"/>
    <w:rsid w:val="000E12D0"/>
    <w:rsid w:val="000E3CB7"/>
    <w:rsid w:val="000E3CFD"/>
    <w:rsid w:val="000F292C"/>
    <w:rsid w:val="000F4004"/>
    <w:rsid w:val="000F5365"/>
    <w:rsid w:val="000F7197"/>
    <w:rsid w:val="000F775D"/>
    <w:rsid w:val="001015D2"/>
    <w:rsid w:val="0010267E"/>
    <w:rsid w:val="00105CEB"/>
    <w:rsid w:val="00113A0B"/>
    <w:rsid w:val="001158AC"/>
    <w:rsid w:val="00116481"/>
    <w:rsid w:val="00131226"/>
    <w:rsid w:val="00133147"/>
    <w:rsid w:val="00134CBC"/>
    <w:rsid w:val="00134E89"/>
    <w:rsid w:val="0014326E"/>
    <w:rsid w:val="001468E2"/>
    <w:rsid w:val="00160906"/>
    <w:rsid w:val="0016140E"/>
    <w:rsid w:val="00164D3D"/>
    <w:rsid w:val="001702C2"/>
    <w:rsid w:val="00172BF1"/>
    <w:rsid w:val="00173C2B"/>
    <w:rsid w:val="00176332"/>
    <w:rsid w:val="00183024"/>
    <w:rsid w:val="0018443D"/>
    <w:rsid w:val="00186960"/>
    <w:rsid w:val="001968B2"/>
    <w:rsid w:val="001A3E79"/>
    <w:rsid w:val="001A6406"/>
    <w:rsid w:val="001B1727"/>
    <w:rsid w:val="001B7158"/>
    <w:rsid w:val="001B7DF8"/>
    <w:rsid w:val="001C1929"/>
    <w:rsid w:val="001C5BFF"/>
    <w:rsid w:val="001D4C5E"/>
    <w:rsid w:val="001D6CA8"/>
    <w:rsid w:val="001E09A2"/>
    <w:rsid w:val="001F5AD0"/>
    <w:rsid w:val="001F5B70"/>
    <w:rsid w:val="002003EB"/>
    <w:rsid w:val="00200660"/>
    <w:rsid w:val="002043C2"/>
    <w:rsid w:val="00204FB3"/>
    <w:rsid w:val="00205A8B"/>
    <w:rsid w:val="00217452"/>
    <w:rsid w:val="00223BCE"/>
    <w:rsid w:val="0023234B"/>
    <w:rsid w:val="00232D4B"/>
    <w:rsid w:val="00241DAF"/>
    <w:rsid w:val="002527EA"/>
    <w:rsid w:val="002545BD"/>
    <w:rsid w:val="002672EE"/>
    <w:rsid w:val="00270AE3"/>
    <w:rsid w:val="0027214F"/>
    <w:rsid w:val="00274C80"/>
    <w:rsid w:val="0027546A"/>
    <w:rsid w:val="00276A02"/>
    <w:rsid w:val="0027786D"/>
    <w:rsid w:val="00280B1F"/>
    <w:rsid w:val="00284E05"/>
    <w:rsid w:val="00287F20"/>
    <w:rsid w:val="00290460"/>
    <w:rsid w:val="002915C5"/>
    <w:rsid w:val="00291D19"/>
    <w:rsid w:val="00294AFF"/>
    <w:rsid w:val="00294D3C"/>
    <w:rsid w:val="00295395"/>
    <w:rsid w:val="002A1BE0"/>
    <w:rsid w:val="002A31EA"/>
    <w:rsid w:val="002A4AEB"/>
    <w:rsid w:val="002B24E3"/>
    <w:rsid w:val="002B2AE2"/>
    <w:rsid w:val="002B2EB0"/>
    <w:rsid w:val="002B326C"/>
    <w:rsid w:val="002B7881"/>
    <w:rsid w:val="002D2B2A"/>
    <w:rsid w:val="002E26A8"/>
    <w:rsid w:val="002E5105"/>
    <w:rsid w:val="002E66BC"/>
    <w:rsid w:val="002F0480"/>
    <w:rsid w:val="002F1E57"/>
    <w:rsid w:val="002F2B3E"/>
    <w:rsid w:val="002F6B2C"/>
    <w:rsid w:val="002F7B39"/>
    <w:rsid w:val="0030069F"/>
    <w:rsid w:val="0030312D"/>
    <w:rsid w:val="00305CA4"/>
    <w:rsid w:val="00306420"/>
    <w:rsid w:val="00314585"/>
    <w:rsid w:val="003166F2"/>
    <w:rsid w:val="003168D6"/>
    <w:rsid w:val="00316C2B"/>
    <w:rsid w:val="00317700"/>
    <w:rsid w:val="00317B32"/>
    <w:rsid w:val="0032787E"/>
    <w:rsid w:val="00332855"/>
    <w:rsid w:val="00333406"/>
    <w:rsid w:val="003339A6"/>
    <w:rsid w:val="00333C64"/>
    <w:rsid w:val="00336C06"/>
    <w:rsid w:val="0034023C"/>
    <w:rsid w:val="00342232"/>
    <w:rsid w:val="00350028"/>
    <w:rsid w:val="00350B2A"/>
    <w:rsid w:val="00351351"/>
    <w:rsid w:val="00355F00"/>
    <w:rsid w:val="00360D21"/>
    <w:rsid w:val="00363650"/>
    <w:rsid w:val="00363DD7"/>
    <w:rsid w:val="00367EFF"/>
    <w:rsid w:val="00371800"/>
    <w:rsid w:val="003729FE"/>
    <w:rsid w:val="003733BA"/>
    <w:rsid w:val="003771B0"/>
    <w:rsid w:val="00383384"/>
    <w:rsid w:val="00386897"/>
    <w:rsid w:val="00394CCC"/>
    <w:rsid w:val="0039710B"/>
    <w:rsid w:val="003A10DB"/>
    <w:rsid w:val="003A327B"/>
    <w:rsid w:val="003A42E7"/>
    <w:rsid w:val="003A44C5"/>
    <w:rsid w:val="003B342E"/>
    <w:rsid w:val="003B5227"/>
    <w:rsid w:val="003B548D"/>
    <w:rsid w:val="003B5D62"/>
    <w:rsid w:val="003C3D5A"/>
    <w:rsid w:val="003C58CF"/>
    <w:rsid w:val="003D06C4"/>
    <w:rsid w:val="003D0FC8"/>
    <w:rsid w:val="003D1A21"/>
    <w:rsid w:val="003D7348"/>
    <w:rsid w:val="003D74E6"/>
    <w:rsid w:val="003F083A"/>
    <w:rsid w:val="003F1424"/>
    <w:rsid w:val="003F2BC8"/>
    <w:rsid w:val="003F2D04"/>
    <w:rsid w:val="003F5B43"/>
    <w:rsid w:val="003F7AF2"/>
    <w:rsid w:val="004027D1"/>
    <w:rsid w:val="00406C34"/>
    <w:rsid w:val="00413A08"/>
    <w:rsid w:val="00413AE5"/>
    <w:rsid w:val="00416704"/>
    <w:rsid w:val="00417057"/>
    <w:rsid w:val="00417F7D"/>
    <w:rsid w:val="00420620"/>
    <w:rsid w:val="004207DD"/>
    <w:rsid w:val="00424375"/>
    <w:rsid w:val="004274A2"/>
    <w:rsid w:val="0044013A"/>
    <w:rsid w:val="0044091E"/>
    <w:rsid w:val="0044228F"/>
    <w:rsid w:val="00442CE4"/>
    <w:rsid w:val="004438A7"/>
    <w:rsid w:val="00446907"/>
    <w:rsid w:val="00447870"/>
    <w:rsid w:val="00447DE3"/>
    <w:rsid w:val="004505C3"/>
    <w:rsid w:val="00452D85"/>
    <w:rsid w:val="004537B0"/>
    <w:rsid w:val="0046156A"/>
    <w:rsid w:val="00463796"/>
    <w:rsid w:val="00471B45"/>
    <w:rsid w:val="00472C52"/>
    <w:rsid w:val="00477B0E"/>
    <w:rsid w:val="00483F78"/>
    <w:rsid w:val="00486CEE"/>
    <w:rsid w:val="00492713"/>
    <w:rsid w:val="0049401D"/>
    <w:rsid w:val="00494D3F"/>
    <w:rsid w:val="00496910"/>
    <w:rsid w:val="004979E8"/>
    <w:rsid w:val="004A1E4C"/>
    <w:rsid w:val="004A288E"/>
    <w:rsid w:val="004A3221"/>
    <w:rsid w:val="004B1957"/>
    <w:rsid w:val="004C062C"/>
    <w:rsid w:val="004C121E"/>
    <w:rsid w:val="004C4363"/>
    <w:rsid w:val="004C66B7"/>
    <w:rsid w:val="004D4F11"/>
    <w:rsid w:val="004D7417"/>
    <w:rsid w:val="004E2822"/>
    <w:rsid w:val="004E6C1E"/>
    <w:rsid w:val="004F16D3"/>
    <w:rsid w:val="004F198A"/>
    <w:rsid w:val="004F24DE"/>
    <w:rsid w:val="004F2B5B"/>
    <w:rsid w:val="004F3937"/>
    <w:rsid w:val="004F43AC"/>
    <w:rsid w:val="004F583E"/>
    <w:rsid w:val="005014D0"/>
    <w:rsid w:val="00504460"/>
    <w:rsid w:val="00505247"/>
    <w:rsid w:val="00506BB2"/>
    <w:rsid w:val="005123A0"/>
    <w:rsid w:val="00512429"/>
    <w:rsid w:val="00514D6A"/>
    <w:rsid w:val="00517E99"/>
    <w:rsid w:val="00532657"/>
    <w:rsid w:val="00533502"/>
    <w:rsid w:val="00534D58"/>
    <w:rsid w:val="005364DE"/>
    <w:rsid w:val="00537F96"/>
    <w:rsid w:val="00544ECC"/>
    <w:rsid w:val="005517FE"/>
    <w:rsid w:val="005540AE"/>
    <w:rsid w:val="0056037B"/>
    <w:rsid w:val="00560BBA"/>
    <w:rsid w:val="00564578"/>
    <w:rsid w:val="00566910"/>
    <w:rsid w:val="005710FB"/>
    <w:rsid w:val="00571C58"/>
    <w:rsid w:val="00571D70"/>
    <w:rsid w:val="00575278"/>
    <w:rsid w:val="005762DA"/>
    <w:rsid w:val="00577CD3"/>
    <w:rsid w:val="00590692"/>
    <w:rsid w:val="00590E1D"/>
    <w:rsid w:val="00592039"/>
    <w:rsid w:val="005974C3"/>
    <w:rsid w:val="005A0743"/>
    <w:rsid w:val="005A66F5"/>
    <w:rsid w:val="005B5315"/>
    <w:rsid w:val="005B577A"/>
    <w:rsid w:val="005B6DCB"/>
    <w:rsid w:val="005D3446"/>
    <w:rsid w:val="005D6FDD"/>
    <w:rsid w:val="005F02B2"/>
    <w:rsid w:val="005F6F69"/>
    <w:rsid w:val="005F7044"/>
    <w:rsid w:val="006010DB"/>
    <w:rsid w:val="0060219F"/>
    <w:rsid w:val="00603339"/>
    <w:rsid w:val="00605C50"/>
    <w:rsid w:val="00610468"/>
    <w:rsid w:val="006117EB"/>
    <w:rsid w:val="00612D8F"/>
    <w:rsid w:val="00621454"/>
    <w:rsid w:val="00621B67"/>
    <w:rsid w:val="00621C7B"/>
    <w:rsid w:val="00622AD0"/>
    <w:rsid w:val="00626A6A"/>
    <w:rsid w:val="0063183B"/>
    <w:rsid w:val="00633BB3"/>
    <w:rsid w:val="00634F20"/>
    <w:rsid w:val="00640B95"/>
    <w:rsid w:val="00646D5C"/>
    <w:rsid w:val="00653B14"/>
    <w:rsid w:val="00655993"/>
    <w:rsid w:val="0065620E"/>
    <w:rsid w:val="0067275D"/>
    <w:rsid w:val="0067480B"/>
    <w:rsid w:val="00682AAE"/>
    <w:rsid w:val="00691798"/>
    <w:rsid w:val="00694030"/>
    <w:rsid w:val="00697A6F"/>
    <w:rsid w:val="006A2D0F"/>
    <w:rsid w:val="006B2241"/>
    <w:rsid w:val="006B2C1E"/>
    <w:rsid w:val="006C0267"/>
    <w:rsid w:val="006C4D6A"/>
    <w:rsid w:val="006D1930"/>
    <w:rsid w:val="006D3791"/>
    <w:rsid w:val="006D54C1"/>
    <w:rsid w:val="006E5FE1"/>
    <w:rsid w:val="006E68EC"/>
    <w:rsid w:val="006F2828"/>
    <w:rsid w:val="00701095"/>
    <w:rsid w:val="007011E4"/>
    <w:rsid w:val="00705645"/>
    <w:rsid w:val="00711AE6"/>
    <w:rsid w:val="0071542D"/>
    <w:rsid w:val="00717928"/>
    <w:rsid w:val="00727C52"/>
    <w:rsid w:val="00730201"/>
    <w:rsid w:val="007310CE"/>
    <w:rsid w:val="00733DAD"/>
    <w:rsid w:val="007364E9"/>
    <w:rsid w:val="00740DA2"/>
    <w:rsid w:val="007451E9"/>
    <w:rsid w:val="00746B22"/>
    <w:rsid w:val="00747299"/>
    <w:rsid w:val="0075124C"/>
    <w:rsid w:val="00752DE2"/>
    <w:rsid w:val="00753FB7"/>
    <w:rsid w:val="00753FBD"/>
    <w:rsid w:val="0075533C"/>
    <w:rsid w:val="007600AB"/>
    <w:rsid w:val="00763300"/>
    <w:rsid w:val="00763BC7"/>
    <w:rsid w:val="00771958"/>
    <w:rsid w:val="007723CD"/>
    <w:rsid w:val="007723E2"/>
    <w:rsid w:val="0077337F"/>
    <w:rsid w:val="00776979"/>
    <w:rsid w:val="0078050F"/>
    <w:rsid w:val="00783C0F"/>
    <w:rsid w:val="007875E9"/>
    <w:rsid w:val="0078796F"/>
    <w:rsid w:val="00790B4B"/>
    <w:rsid w:val="00791A29"/>
    <w:rsid w:val="007924F7"/>
    <w:rsid w:val="00793CC9"/>
    <w:rsid w:val="007A02CA"/>
    <w:rsid w:val="007A2D5F"/>
    <w:rsid w:val="007A53D6"/>
    <w:rsid w:val="007A5EB2"/>
    <w:rsid w:val="007B0347"/>
    <w:rsid w:val="007B0611"/>
    <w:rsid w:val="007B1778"/>
    <w:rsid w:val="007B5F2D"/>
    <w:rsid w:val="007B67AF"/>
    <w:rsid w:val="007C43BE"/>
    <w:rsid w:val="007C51D2"/>
    <w:rsid w:val="007C65FC"/>
    <w:rsid w:val="007D32CF"/>
    <w:rsid w:val="007E60BF"/>
    <w:rsid w:val="007F190C"/>
    <w:rsid w:val="007F1E4B"/>
    <w:rsid w:val="007F4BCA"/>
    <w:rsid w:val="007F5714"/>
    <w:rsid w:val="00803422"/>
    <w:rsid w:val="00804AAC"/>
    <w:rsid w:val="00805A6F"/>
    <w:rsid w:val="00812D61"/>
    <w:rsid w:val="00813FD5"/>
    <w:rsid w:val="0081538C"/>
    <w:rsid w:val="0081731F"/>
    <w:rsid w:val="008216CD"/>
    <w:rsid w:val="00821AAC"/>
    <w:rsid w:val="00821CA6"/>
    <w:rsid w:val="0082286D"/>
    <w:rsid w:val="00824FDF"/>
    <w:rsid w:val="008319DA"/>
    <w:rsid w:val="00831C41"/>
    <w:rsid w:val="00836A7D"/>
    <w:rsid w:val="0084155E"/>
    <w:rsid w:val="0084466B"/>
    <w:rsid w:val="008527CB"/>
    <w:rsid w:val="00855E97"/>
    <w:rsid w:val="00860D4D"/>
    <w:rsid w:val="00863356"/>
    <w:rsid w:val="008639D8"/>
    <w:rsid w:val="00864BD6"/>
    <w:rsid w:val="00865144"/>
    <w:rsid w:val="0086544E"/>
    <w:rsid w:val="0087074C"/>
    <w:rsid w:val="00872B3C"/>
    <w:rsid w:val="00875195"/>
    <w:rsid w:val="0087797C"/>
    <w:rsid w:val="00881194"/>
    <w:rsid w:val="00882394"/>
    <w:rsid w:val="0089062E"/>
    <w:rsid w:val="00891CDE"/>
    <w:rsid w:val="00891EB3"/>
    <w:rsid w:val="0089414D"/>
    <w:rsid w:val="008958B2"/>
    <w:rsid w:val="0089734B"/>
    <w:rsid w:val="008A4D6C"/>
    <w:rsid w:val="008A510A"/>
    <w:rsid w:val="008A51FC"/>
    <w:rsid w:val="008A576E"/>
    <w:rsid w:val="008A59F7"/>
    <w:rsid w:val="008B03CF"/>
    <w:rsid w:val="008B2ACD"/>
    <w:rsid w:val="008B6F1A"/>
    <w:rsid w:val="008C0BCA"/>
    <w:rsid w:val="008C4BC6"/>
    <w:rsid w:val="008C6144"/>
    <w:rsid w:val="008C6F8D"/>
    <w:rsid w:val="008D06CA"/>
    <w:rsid w:val="008D2A2A"/>
    <w:rsid w:val="008D732F"/>
    <w:rsid w:val="008E30CE"/>
    <w:rsid w:val="008E6C65"/>
    <w:rsid w:val="008F6205"/>
    <w:rsid w:val="0090098F"/>
    <w:rsid w:val="009070DD"/>
    <w:rsid w:val="0091028C"/>
    <w:rsid w:val="00913FB6"/>
    <w:rsid w:val="00921BF3"/>
    <w:rsid w:val="009232A0"/>
    <w:rsid w:val="00925756"/>
    <w:rsid w:val="00925DEA"/>
    <w:rsid w:val="00926F9B"/>
    <w:rsid w:val="009274D1"/>
    <w:rsid w:val="0093172F"/>
    <w:rsid w:val="00931FDE"/>
    <w:rsid w:val="009328F1"/>
    <w:rsid w:val="00933CEC"/>
    <w:rsid w:val="00935878"/>
    <w:rsid w:val="00936415"/>
    <w:rsid w:val="00953BA1"/>
    <w:rsid w:val="00955B5D"/>
    <w:rsid w:val="00955F24"/>
    <w:rsid w:val="00961BD6"/>
    <w:rsid w:val="009637E4"/>
    <w:rsid w:val="0096432B"/>
    <w:rsid w:val="009648FE"/>
    <w:rsid w:val="00964B19"/>
    <w:rsid w:val="00965AED"/>
    <w:rsid w:val="009825C9"/>
    <w:rsid w:val="0098506A"/>
    <w:rsid w:val="0098591F"/>
    <w:rsid w:val="00987C44"/>
    <w:rsid w:val="009A09EA"/>
    <w:rsid w:val="009A7746"/>
    <w:rsid w:val="009B0933"/>
    <w:rsid w:val="009B0BBC"/>
    <w:rsid w:val="009B0D65"/>
    <w:rsid w:val="009B0F55"/>
    <w:rsid w:val="009B609C"/>
    <w:rsid w:val="009B77E6"/>
    <w:rsid w:val="009C439D"/>
    <w:rsid w:val="009C646C"/>
    <w:rsid w:val="009D074B"/>
    <w:rsid w:val="009D2DD4"/>
    <w:rsid w:val="009D3BD9"/>
    <w:rsid w:val="009D3C8F"/>
    <w:rsid w:val="009E464D"/>
    <w:rsid w:val="009E60F8"/>
    <w:rsid w:val="009E7BB4"/>
    <w:rsid w:val="009F144A"/>
    <w:rsid w:val="009F7CE1"/>
    <w:rsid w:val="00A02E49"/>
    <w:rsid w:val="00A02FBA"/>
    <w:rsid w:val="00A05851"/>
    <w:rsid w:val="00A1325C"/>
    <w:rsid w:val="00A145BF"/>
    <w:rsid w:val="00A224CB"/>
    <w:rsid w:val="00A2285A"/>
    <w:rsid w:val="00A23295"/>
    <w:rsid w:val="00A25233"/>
    <w:rsid w:val="00A25A7D"/>
    <w:rsid w:val="00A33182"/>
    <w:rsid w:val="00A34010"/>
    <w:rsid w:val="00A40E61"/>
    <w:rsid w:val="00A41C03"/>
    <w:rsid w:val="00A43F23"/>
    <w:rsid w:val="00A4682D"/>
    <w:rsid w:val="00A608D7"/>
    <w:rsid w:val="00A636BB"/>
    <w:rsid w:val="00A63B62"/>
    <w:rsid w:val="00A67D64"/>
    <w:rsid w:val="00A70E38"/>
    <w:rsid w:val="00A7505A"/>
    <w:rsid w:val="00A75CDA"/>
    <w:rsid w:val="00A763D5"/>
    <w:rsid w:val="00A7712D"/>
    <w:rsid w:val="00A777EE"/>
    <w:rsid w:val="00A77849"/>
    <w:rsid w:val="00A80152"/>
    <w:rsid w:val="00A81BCD"/>
    <w:rsid w:val="00A82276"/>
    <w:rsid w:val="00A83191"/>
    <w:rsid w:val="00A86B0B"/>
    <w:rsid w:val="00A96367"/>
    <w:rsid w:val="00A96D27"/>
    <w:rsid w:val="00AA23F5"/>
    <w:rsid w:val="00AA4041"/>
    <w:rsid w:val="00AB1CF6"/>
    <w:rsid w:val="00AB32CD"/>
    <w:rsid w:val="00AB3F78"/>
    <w:rsid w:val="00AB4140"/>
    <w:rsid w:val="00AB6A7D"/>
    <w:rsid w:val="00AB6B53"/>
    <w:rsid w:val="00AC0C5E"/>
    <w:rsid w:val="00AC1970"/>
    <w:rsid w:val="00AC19FE"/>
    <w:rsid w:val="00AC3745"/>
    <w:rsid w:val="00AD2470"/>
    <w:rsid w:val="00AE596D"/>
    <w:rsid w:val="00AF514E"/>
    <w:rsid w:val="00AF5BC4"/>
    <w:rsid w:val="00AF7FDC"/>
    <w:rsid w:val="00B013AE"/>
    <w:rsid w:val="00B03C05"/>
    <w:rsid w:val="00B04FC4"/>
    <w:rsid w:val="00B057EF"/>
    <w:rsid w:val="00B10875"/>
    <w:rsid w:val="00B15567"/>
    <w:rsid w:val="00B163AE"/>
    <w:rsid w:val="00B167D3"/>
    <w:rsid w:val="00B16E29"/>
    <w:rsid w:val="00B178AF"/>
    <w:rsid w:val="00B17ED4"/>
    <w:rsid w:val="00B250A5"/>
    <w:rsid w:val="00B257DE"/>
    <w:rsid w:val="00B275D0"/>
    <w:rsid w:val="00B31949"/>
    <w:rsid w:val="00B336B4"/>
    <w:rsid w:val="00B34277"/>
    <w:rsid w:val="00B37EE9"/>
    <w:rsid w:val="00B41D41"/>
    <w:rsid w:val="00B426E7"/>
    <w:rsid w:val="00B43216"/>
    <w:rsid w:val="00B44829"/>
    <w:rsid w:val="00B45482"/>
    <w:rsid w:val="00B46881"/>
    <w:rsid w:val="00B4740A"/>
    <w:rsid w:val="00B536EF"/>
    <w:rsid w:val="00B53BEA"/>
    <w:rsid w:val="00B5415C"/>
    <w:rsid w:val="00B54B5F"/>
    <w:rsid w:val="00B555A3"/>
    <w:rsid w:val="00B555F9"/>
    <w:rsid w:val="00B55EEB"/>
    <w:rsid w:val="00B5727C"/>
    <w:rsid w:val="00B57753"/>
    <w:rsid w:val="00B64AAE"/>
    <w:rsid w:val="00B6717F"/>
    <w:rsid w:val="00B7130C"/>
    <w:rsid w:val="00B724E4"/>
    <w:rsid w:val="00B72BBD"/>
    <w:rsid w:val="00B7440D"/>
    <w:rsid w:val="00B7572B"/>
    <w:rsid w:val="00B7578B"/>
    <w:rsid w:val="00B808AC"/>
    <w:rsid w:val="00B81448"/>
    <w:rsid w:val="00B842FC"/>
    <w:rsid w:val="00B84334"/>
    <w:rsid w:val="00B86494"/>
    <w:rsid w:val="00B904ED"/>
    <w:rsid w:val="00B916D9"/>
    <w:rsid w:val="00B92C8D"/>
    <w:rsid w:val="00B96685"/>
    <w:rsid w:val="00B9713B"/>
    <w:rsid w:val="00BA2553"/>
    <w:rsid w:val="00BB19CA"/>
    <w:rsid w:val="00BB3D1B"/>
    <w:rsid w:val="00BB733A"/>
    <w:rsid w:val="00BB7F52"/>
    <w:rsid w:val="00BC2A02"/>
    <w:rsid w:val="00BC5D76"/>
    <w:rsid w:val="00BD090B"/>
    <w:rsid w:val="00BD0C1F"/>
    <w:rsid w:val="00BD1802"/>
    <w:rsid w:val="00BD1EA5"/>
    <w:rsid w:val="00BD5577"/>
    <w:rsid w:val="00BE2566"/>
    <w:rsid w:val="00BE6769"/>
    <w:rsid w:val="00BF0456"/>
    <w:rsid w:val="00BF2B29"/>
    <w:rsid w:val="00BF4997"/>
    <w:rsid w:val="00BF6177"/>
    <w:rsid w:val="00C01CD2"/>
    <w:rsid w:val="00C05F7F"/>
    <w:rsid w:val="00C066B3"/>
    <w:rsid w:val="00C074BB"/>
    <w:rsid w:val="00C07D83"/>
    <w:rsid w:val="00C10E8E"/>
    <w:rsid w:val="00C12824"/>
    <w:rsid w:val="00C15ABD"/>
    <w:rsid w:val="00C164C5"/>
    <w:rsid w:val="00C207E7"/>
    <w:rsid w:val="00C210C6"/>
    <w:rsid w:val="00C24868"/>
    <w:rsid w:val="00C274FC"/>
    <w:rsid w:val="00C352DE"/>
    <w:rsid w:val="00C3637F"/>
    <w:rsid w:val="00C36748"/>
    <w:rsid w:val="00C404A2"/>
    <w:rsid w:val="00C40D90"/>
    <w:rsid w:val="00C4496E"/>
    <w:rsid w:val="00C462BA"/>
    <w:rsid w:val="00C53EFB"/>
    <w:rsid w:val="00C57FDB"/>
    <w:rsid w:val="00C61078"/>
    <w:rsid w:val="00C62061"/>
    <w:rsid w:val="00C6391C"/>
    <w:rsid w:val="00C7037D"/>
    <w:rsid w:val="00C7112A"/>
    <w:rsid w:val="00C723FF"/>
    <w:rsid w:val="00C73DF9"/>
    <w:rsid w:val="00C74147"/>
    <w:rsid w:val="00C809A5"/>
    <w:rsid w:val="00C9012B"/>
    <w:rsid w:val="00C90D9E"/>
    <w:rsid w:val="00C917F3"/>
    <w:rsid w:val="00CA4D56"/>
    <w:rsid w:val="00CA5FDA"/>
    <w:rsid w:val="00CB05E4"/>
    <w:rsid w:val="00CB21E3"/>
    <w:rsid w:val="00CB2A63"/>
    <w:rsid w:val="00CB4B5E"/>
    <w:rsid w:val="00CD3233"/>
    <w:rsid w:val="00CD32CF"/>
    <w:rsid w:val="00CD3A32"/>
    <w:rsid w:val="00CD4F68"/>
    <w:rsid w:val="00CE01C9"/>
    <w:rsid w:val="00CE24B8"/>
    <w:rsid w:val="00CE4933"/>
    <w:rsid w:val="00CE79F1"/>
    <w:rsid w:val="00CF4303"/>
    <w:rsid w:val="00CF438B"/>
    <w:rsid w:val="00CF54F4"/>
    <w:rsid w:val="00CF5C2E"/>
    <w:rsid w:val="00CF7188"/>
    <w:rsid w:val="00D03B3F"/>
    <w:rsid w:val="00D05924"/>
    <w:rsid w:val="00D10E62"/>
    <w:rsid w:val="00D16401"/>
    <w:rsid w:val="00D2557D"/>
    <w:rsid w:val="00D30E30"/>
    <w:rsid w:val="00D361BB"/>
    <w:rsid w:val="00D42267"/>
    <w:rsid w:val="00D42824"/>
    <w:rsid w:val="00D42C13"/>
    <w:rsid w:val="00D47EF4"/>
    <w:rsid w:val="00D50925"/>
    <w:rsid w:val="00D50CE0"/>
    <w:rsid w:val="00D60346"/>
    <w:rsid w:val="00D6132F"/>
    <w:rsid w:val="00D748F8"/>
    <w:rsid w:val="00D7533F"/>
    <w:rsid w:val="00D75CB1"/>
    <w:rsid w:val="00D76ADD"/>
    <w:rsid w:val="00D77F20"/>
    <w:rsid w:val="00D864D1"/>
    <w:rsid w:val="00D902C2"/>
    <w:rsid w:val="00D94E9A"/>
    <w:rsid w:val="00DA1CFD"/>
    <w:rsid w:val="00DA25E8"/>
    <w:rsid w:val="00DA2ED4"/>
    <w:rsid w:val="00DB19BB"/>
    <w:rsid w:val="00DB3FEE"/>
    <w:rsid w:val="00DC068A"/>
    <w:rsid w:val="00DC285A"/>
    <w:rsid w:val="00DC2D5B"/>
    <w:rsid w:val="00DC71D1"/>
    <w:rsid w:val="00DD3545"/>
    <w:rsid w:val="00DD5691"/>
    <w:rsid w:val="00DD7B75"/>
    <w:rsid w:val="00DE081A"/>
    <w:rsid w:val="00DE3D74"/>
    <w:rsid w:val="00DE4FFD"/>
    <w:rsid w:val="00DE671A"/>
    <w:rsid w:val="00DF3024"/>
    <w:rsid w:val="00DF4062"/>
    <w:rsid w:val="00DF56E3"/>
    <w:rsid w:val="00DF6FE3"/>
    <w:rsid w:val="00DF70BE"/>
    <w:rsid w:val="00E00309"/>
    <w:rsid w:val="00E04069"/>
    <w:rsid w:val="00E07108"/>
    <w:rsid w:val="00E10A22"/>
    <w:rsid w:val="00E121F3"/>
    <w:rsid w:val="00E13A25"/>
    <w:rsid w:val="00E169C7"/>
    <w:rsid w:val="00E17087"/>
    <w:rsid w:val="00E21AC2"/>
    <w:rsid w:val="00E22DC4"/>
    <w:rsid w:val="00E31A19"/>
    <w:rsid w:val="00E371D4"/>
    <w:rsid w:val="00E37690"/>
    <w:rsid w:val="00E40602"/>
    <w:rsid w:val="00E4287E"/>
    <w:rsid w:val="00E44C45"/>
    <w:rsid w:val="00E45E6B"/>
    <w:rsid w:val="00E50ABC"/>
    <w:rsid w:val="00E50FE8"/>
    <w:rsid w:val="00E57DC9"/>
    <w:rsid w:val="00E620F0"/>
    <w:rsid w:val="00E666CE"/>
    <w:rsid w:val="00E6788E"/>
    <w:rsid w:val="00E70C40"/>
    <w:rsid w:val="00E72A17"/>
    <w:rsid w:val="00E73E2F"/>
    <w:rsid w:val="00E81333"/>
    <w:rsid w:val="00E81643"/>
    <w:rsid w:val="00E83132"/>
    <w:rsid w:val="00E95BB3"/>
    <w:rsid w:val="00E97C52"/>
    <w:rsid w:val="00EA1DCC"/>
    <w:rsid w:val="00EA28FF"/>
    <w:rsid w:val="00EA4AD7"/>
    <w:rsid w:val="00EB4D78"/>
    <w:rsid w:val="00EC2B98"/>
    <w:rsid w:val="00EC532D"/>
    <w:rsid w:val="00ED2255"/>
    <w:rsid w:val="00ED31F8"/>
    <w:rsid w:val="00ED4A89"/>
    <w:rsid w:val="00ED5C01"/>
    <w:rsid w:val="00ED7F95"/>
    <w:rsid w:val="00EE2B22"/>
    <w:rsid w:val="00EE5087"/>
    <w:rsid w:val="00EE5B48"/>
    <w:rsid w:val="00EE63E3"/>
    <w:rsid w:val="00EF25E1"/>
    <w:rsid w:val="00EF3854"/>
    <w:rsid w:val="00EF4DA4"/>
    <w:rsid w:val="00F029CC"/>
    <w:rsid w:val="00F0495E"/>
    <w:rsid w:val="00F07BA2"/>
    <w:rsid w:val="00F11152"/>
    <w:rsid w:val="00F13FE0"/>
    <w:rsid w:val="00F21F88"/>
    <w:rsid w:val="00F22DF4"/>
    <w:rsid w:val="00F23F08"/>
    <w:rsid w:val="00F26913"/>
    <w:rsid w:val="00F35491"/>
    <w:rsid w:val="00F37BC3"/>
    <w:rsid w:val="00F4032B"/>
    <w:rsid w:val="00F43DA8"/>
    <w:rsid w:val="00F4505D"/>
    <w:rsid w:val="00F45E7D"/>
    <w:rsid w:val="00F46F6B"/>
    <w:rsid w:val="00F4746D"/>
    <w:rsid w:val="00F47A51"/>
    <w:rsid w:val="00F51E44"/>
    <w:rsid w:val="00F52491"/>
    <w:rsid w:val="00F52EF9"/>
    <w:rsid w:val="00F569F6"/>
    <w:rsid w:val="00F572C4"/>
    <w:rsid w:val="00F63010"/>
    <w:rsid w:val="00F63D8F"/>
    <w:rsid w:val="00F67589"/>
    <w:rsid w:val="00F70EEA"/>
    <w:rsid w:val="00F70F9B"/>
    <w:rsid w:val="00F71BD1"/>
    <w:rsid w:val="00F74DB2"/>
    <w:rsid w:val="00F76296"/>
    <w:rsid w:val="00F81C50"/>
    <w:rsid w:val="00F83625"/>
    <w:rsid w:val="00F85DEC"/>
    <w:rsid w:val="00F90EA4"/>
    <w:rsid w:val="00F926C3"/>
    <w:rsid w:val="00F97DC6"/>
    <w:rsid w:val="00FA06BD"/>
    <w:rsid w:val="00FA1BD1"/>
    <w:rsid w:val="00FB05BB"/>
    <w:rsid w:val="00FB1473"/>
    <w:rsid w:val="00FC17ED"/>
    <w:rsid w:val="00FC66E5"/>
    <w:rsid w:val="00FD0A1D"/>
    <w:rsid w:val="00FD0DE8"/>
    <w:rsid w:val="00FD3D55"/>
    <w:rsid w:val="00FD46EC"/>
    <w:rsid w:val="00FD4DD4"/>
    <w:rsid w:val="00FD5CA8"/>
    <w:rsid w:val="00FE4448"/>
    <w:rsid w:val="00FE4C87"/>
    <w:rsid w:val="00FE5DE0"/>
    <w:rsid w:val="00FE5EBF"/>
    <w:rsid w:val="00FF14B2"/>
    <w:rsid w:val="00FF3E6F"/>
    <w:rsid w:val="00FF569B"/>
    <w:rsid w:val="151A7E19"/>
    <w:rsid w:val="48E7E366"/>
    <w:rsid w:val="57E99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F053"/>
  <w15:docId w15:val="{453A0944-8F29-4797-A1F5-2107DAE4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D3F"/>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790B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D75CB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C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2BC8"/>
  </w:style>
  <w:style w:type="paragraph" w:styleId="Footer">
    <w:name w:val="footer"/>
    <w:basedOn w:val="Normal"/>
    <w:link w:val="FooterChar"/>
    <w:unhideWhenUsed/>
    <w:rsid w:val="003F2BC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3F2BC8"/>
  </w:style>
  <w:style w:type="paragraph" w:customStyle="1" w:styleId="BodyText1">
    <w:name w:val="Body Text1"/>
    <w:link w:val="bodytextCharChar"/>
    <w:qFormat/>
    <w:rsid w:val="003F2BC8"/>
    <w:pPr>
      <w:spacing w:before="260" w:after="100" w:line="260" w:lineRule="exact"/>
    </w:pPr>
    <w:rPr>
      <w:rFonts w:ascii="Arial" w:eastAsia="Times New Roman" w:hAnsi="Arial" w:cs="Arial"/>
      <w:sz w:val="20"/>
      <w:szCs w:val="24"/>
    </w:rPr>
  </w:style>
  <w:style w:type="character" w:customStyle="1" w:styleId="bodytextCharChar">
    <w:name w:val="body text Char Char"/>
    <w:basedOn w:val="DefaultParagraphFont"/>
    <w:link w:val="BodyText1"/>
    <w:rsid w:val="003F2BC8"/>
    <w:rPr>
      <w:rFonts w:ascii="Arial" w:eastAsia="Times New Roman" w:hAnsi="Arial" w:cs="Arial"/>
      <w:sz w:val="20"/>
      <w:szCs w:val="24"/>
    </w:rPr>
  </w:style>
  <w:style w:type="paragraph" w:customStyle="1" w:styleId="tbody">
    <w:name w:val="tbody"/>
    <w:basedOn w:val="Normal"/>
    <w:qFormat/>
    <w:rsid w:val="003F2BC8"/>
    <w:pPr>
      <w:suppressAutoHyphens/>
      <w:spacing w:before="60" w:after="60" w:line="220" w:lineRule="exact"/>
    </w:pPr>
    <w:rPr>
      <w:rFonts w:cs="Times New Roman"/>
      <w:sz w:val="18"/>
    </w:rPr>
  </w:style>
  <w:style w:type="character" w:styleId="Strong">
    <w:name w:val="Strong"/>
    <w:uiPriority w:val="22"/>
    <w:qFormat/>
    <w:rsid w:val="003F2BC8"/>
    <w:rPr>
      <w:b/>
      <w:bCs/>
    </w:rPr>
  </w:style>
  <w:style w:type="paragraph" w:customStyle="1" w:styleId="theader">
    <w:name w:val="theader"/>
    <w:basedOn w:val="Normal"/>
    <w:rsid w:val="003F2BC8"/>
    <w:pPr>
      <w:tabs>
        <w:tab w:val="left" w:pos="2400"/>
      </w:tabs>
      <w:suppressAutoHyphens/>
      <w:spacing w:before="60" w:after="60" w:line="220" w:lineRule="exact"/>
    </w:pPr>
    <w:rPr>
      <w:rFonts w:cs="Times New Roman"/>
      <w:b/>
      <w:color w:val="FFFFFF"/>
      <w:sz w:val="18"/>
      <w:szCs w:val="20"/>
    </w:rPr>
  </w:style>
  <w:style w:type="paragraph" w:styleId="Title">
    <w:name w:val="Title"/>
    <w:basedOn w:val="Normal"/>
    <w:next w:val="Title2"/>
    <w:link w:val="TitleChar"/>
    <w:rsid w:val="003F2BC8"/>
    <w:pPr>
      <w:framePr w:hSpace="180" w:wrap="around" w:vAnchor="page" w:hAnchor="text" w:xAlign="center" w:y="2851"/>
      <w:suppressAutoHyphens/>
      <w:spacing w:after="60" w:line="820" w:lineRule="exact"/>
    </w:pPr>
    <w:rPr>
      <w:color w:val="2895D5"/>
      <w:sz w:val="76"/>
      <w:szCs w:val="66"/>
    </w:rPr>
  </w:style>
  <w:style w:type="character" w:customStyle="1" w:styleId="TitleChar">
    <w:name w:val="Title Char"/>
    <w:basedOn w:val="DefaultParagraphFont"/>
    <w:link w:val="Title"/>
    <w:rsid w:val="003F2BC8"/>
    <w:rPr>
      <w:rFonts w:ascii="Arial" w:eastAsia="Times New Roman" w:hAnsi="Arial" w:cs="Arial"/>
      <w:color w:val="2895D5"/>
      <w:sz w:val="76"/>
      <w:szCs w:val="66"/>
    </w:rPr>
  </w:style>
  <w:style w:type="paragraph" w:customStyle="1" w:styleId="Title2">
    <w:name w:val="Title2"/>
    <w:basedOn w:val="Normal"/>
    <w:next w:val="BodyText1"/>
    <w:rsid w:val="003F2BC8"/>
    <w:pPr>
      <w:framePr w:hSpace="180" w:wrap="around" w:vAnchor="page" w:hAnchor="text" w:xAlign="center" w:y="2851"/>
      <w:suppressAutoHyphens/>
      <w:spacing w:after="60" w:line="520" w:lineRule="exact"/>
    </w:pPr>
    <w:rPr>
      <w:color w:val="595959"/>
      <w:sz w:val="46"/>
      <w:szCs w:val="66"/>
      <w:lang w:val="it-IT"/>
    </w:rPr>
  </w:style>
  <w:style w:type="paragraph" w:styleId="BalloonText">
    <w:name w:val="Balloon Text"/>
    <w:basedOn w:val="Normal"/>
    <w:link w:val="BalloonTextChar"/>
    <w:uiPriority w:val="99"/>
    <w:semiHidden/>
    <w:unhideWhenUsed/>
    <w:rsid w:val="00FD3D55"/>
    <w:rPr>
      <w:rFonts w:ascii="Tahoma" w:hAnsi="Tahoma" w:cs="Tahoma"/>
      <w:sz w:val="16"/>
      <w:szCs w:val="16"/>
    </w:rPr>
  </w:style>
  <w:style w:type="character" w:customStyle="1" w:styleId="BalloonTextChar">
    <w:name w:val="Balloon Text Char"/>
    <w:basedOn w:val="DefaultParagraphFont"/>
    <w:link w:val="BalloonText"/>
    <w:uiPriority w:val="99"/>
    <w:semiHidden/>
    <w:rsid w:val="00FD3D55"/>
    <w:rPr>
      <w:rFonts w:ascii="Tahoma" w:eastAsia="Times New Roman" w:hAnsi="Tahoma" w:cs="Tahoma"/>
      <w:sz w:val="16"/>
      <w:szCs w:val="16"/>
    </w:rPr>
  </w:style>
  <w:style w:type="paragraph" w:styleId="ListParagraph">
    <w:name w:val="List Paragraph"/>
    <w:basedOn w:val="Normal"/>
    <w:uiPriority w:val="34"/>
    <w:qFormat/>
    <w:rsid w:val="009B0933"/>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621454"/>
    <w:rPr>
      <w:i/>
      <w:iCs/>
    </w:rPr>
  </w:style>
  <w:style w:type="character" w:styleId="Hyperlink">
    <w:name w:val="Hyperlink"/>
    <w:basedOn w:val="DefaultParagraphFont"/>
    <w:uiPriority w:val="99"/>
    <w:unhideWhenUsed/>
    <w:rsid w:val="00621454"/>
    <w:rPr>
      <w:color w:val="0000FF"/>
      <w:u w:val="single"/>
    </w:rPr>
  </w:style>
  <w:style w:type="paragraph" w:styleId="NormalWeb">
    <w:name w:val="Normal (Web)"/>
    <w:basedOn w:val="Normal"/>
    <w:uiPriority w:val="99"/>
    <w:semiHidden/>
    <w:unhideWhenUsed/>
    <w:rsid w:val="00AF7FDC"/>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DD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AAC"/>
    <w:rPr>
      <w:color w:val="808080"/>
    </w:rPr>
  </w:style>
  <w:style w:type="paragraph" w:styleId="NoSpacing">
    <w:name w:val="No Spacing"/>
    <w:uiPriority w:val="1"/>
    <w:qFormat/>
    <w:rsid w:val="00790B4B"/>
    <w:pPr>
      <w:spacing w:after="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790B4B"/>
    <w:rPr>
      <w:rFonts w:asciiTheme="majorHAnsi" w:eastAsiaTheme="majorEastAsia" w:hAnsiTheme="majorHAnsi" w:cstheme="majorBidi"/>
      <w:color w:val="365F91" w:themeColor="accent1" w:themeShade="BF"/>
      <w:sz w:val="32"/>
      <w:szCs w:val="32"/>
    </w:rPr>
  </w:style>
  <w:style w:type="paragraph" w:customStyle="1" w:styleId="Default">
    <w:name w:val="Default"/>
    <w:rsid w:val="00CB05E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73C2B"/>
    <w:rPr>
      <w:color w:val="605E5C"/>
      <w:shd w:val="clear" w:color="auto" w:fill="E1DFDD"/>
    </w:rPr>
  </w:style>
  <w:style w:type="character" w:customStyle="1" w:styleId="Heading5Char">
    <w:name w:val="Heading 5 Char"/>
    <w:basedOn w:val="DefaultParagraphFont"/>
    <w:link w:val="Heading5"/>
    <w:uiPriority w:val="9"/>
    <w:semiHidden/>
    <w:rsid w:val="00D75CB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0974">
      <w:bodyDiv w:val="1"/>
      <w:marLeft w:val="0"/>
      <w:marRight w:val="0"/>
      <w:marTop w:val="0"/>
      <w:marBottom w:val="0"/>
      <w:divBdr>
        <w:top w:val="none" w:sz="0" w:space="0" w:color="auto"/>
        <w:left w:val="none" w:sz="0" w:space="0" w:color="auto"/>
        <w:bottom w:val="none" w:sz="0" w:space="0" w:color="auto"/>
        <w:right w:val="none" w:sz="0" w:space="0" w:color="auto"/>
      </w:divBdr>
    </w:div>
    <w:div w:id="165750792">
      <w:bodyDiv w:val="1"/>
      <w:marLeft w:val="0"/>
      <w:marRight w:val="0"/>
      <w:marTop w:val="0"/>
      <w:marBottom w:val="0"/>
      <w:divBdr>
        <w:top w:val="none" w:sz="0" w:space="0" w:color="auto"/>
        <w:left w:val="none" w:sz="0" w:space="0" w:color="auto"/>
        <w:bottom w:val="none" w:sz="0" w:space="0" w:color="auto"/>
        <w:right w:val="none" w:sz="0" w:space="0" w:color="auto"/>
      </w:divBdr>
    </w:div>
    <w:div w:id="12582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DD2576050E461BB879FAC729BC3861"/>
        <w:category>
          <w:name w:val="General"/>
          <w:gallery w:val="placeholder"/>
        </w:category>
        <w:types>
          <w:type w:val="bbPlcHdr"/>
        </w:types>
        <w:behaviors>
          <w:behavior w:val="content"/>
        </w:behaviors>
        <w:guid w:val="{7170021B-4F6C-412D-9094-8C72ED23BD43}"/>
      </w:docPartPr>
      <w:docPartBody>
        <w:p w:rsidR="003700F5" w:rsidRDefault="0024642F" w:rsidP="0024642F">
          <w:pPr>
            <w:pStyle w:val="9DDD2576050E461BB879FAC729BC386170"/>
          </w:pPr>
          <w:r w:rsidRPr="00241DAF">
            <w:rPr>
              <w:rStyle w:val="PlaceholderText"/>
              <w:rFonts w:eastAsiaTheme="minorHAnsi"/>
              <w:sz w:val="20"/>
              <w:szCs w:val="20"/>
            </w:rPr>
            <w:t>Click or tap to enter a date</w:t>
          </w:r>
        </w:p>
      </w:docPartBody>
    </w:docPart>
    <w:docPart>
      <w:docPartPr>
        <w:name w:val="51BEEC8C00114EDDA4A49A34EF6C5F8A"/>
        <w:category>
          <w:name w:val="General"/>
          <w:gallery w:val="placeholder"/>
        </w:category>
        <w:types>
          <w:type w:val="bbPlcHdr"/>
        </w:types>
        <w:behaviors>
          <w:behavior w:val="content"/>
        </w:behaviors>
        <w:guid w:val="{044741CA-966F-4DAC-9453-0C890E2A9171}"/>
      </w:docPartPr>
      <w:docPartBody>
        <w:p w:rsidR="003700F5" w:rsidRDefault="0024642F" w:rsidP="0024642F">
          <w:pPr>
            <w:pStyle w:val="51BEEC8C00114EDDA4A49A34EF6C5F8A70"/>
          </w:pPr>
          <w:r w:rsidRPr="00241DAF">
            <w:rPr>
              <w:rStyle w:val="PlaceholderText"/>
              <w:rFonts w:eastAsiaTheme="minorHAnsi"/>
              <w:sz w:val="20"/>
              <w:szCs w:val="20"/>
            </w:rPr>
            <w:t>Click or tap to enter a date</w:t>
          </w:r>
        </w:p>
      </w:docPartBody>
    </w:docPart>
    <w:docPart>
      <w:docPartPr>
        <w:name w:val="AA60EE451BBC4C06BFB9379D909DDB80"/>
        <w:category>
          <w:name w:val="General"/>
          <w:gallery w:val="placeholder"/>
        </w:category>
        <w:types>
          <w:type w:val="bbPlcHdr"/>
        </w:types>
        <w:behaviors>
          <w:behavior w:val="content"/>
        </w:behaviors>
        <w:guid w:val="{4826303B-F24B-4DDD-A1FF-D8A8069685D5}"/>
      </w:docPartPr>
      <w:docPartBody>
        <w:p w:rsidR="003700F5" w:rsidRDefault="0024642F" w:rsidP="0024642F">
          <w:pPr>
            <w:pStyle w:val="AA60EE451BBC4C06BFB9379D909DDB8067"/>
          </w:pPr>
          <w:r w:rsidRPr="00860D4D">
            <w:rPr>
              <w:b/>
              <w:color w:val="7F7F7F" w:themeColor="text1" w:themeTint="80"/>
              <w:sz w:val="20"/>
              <w:szCs w:val="20"/>
            </w:rPr>
            <w:t>Brand</w:t>
          </w:r>
        </w:p>
      </w:docPartBody>
    </w:docPart>
    <w:docPart>
      <w:docPartPr>
        <w:name w:val="830DDE662E6E4B2799DB58AF8E0424EF"/>
        <w:category>
          <w:name w:val="General"/>
          <w:gallery w:val="placeholder"/>
        </w:category>
        <w:types>
          <w:type w:val="bbPlcHdr"/>
        </w:types>
        <w:behaviors>
          <w:behavior w:val="content"/>
        </w:behaviors>
        <w:guid w:val="{1F62A5FB-0C87-4D0A-A7F1-107324006E71}"/>
      </w:docPartPr>
      <w:docPartBody>
        <w:p w:rsidR="003700F5" w:rsidRDefault="0024642F" w:rsidP="0024642F">
          <w:pPr>
            <w:pStyle w:val="830DDE662E6E4B2799DB58AF8E0424EF67"/>
          </w:pPr>
          <w:r w:rsidRPr="00860D4D">
            <w:rPr>
              <w:b/>
              <w:color w:val="7F7F7F" w:themeColor="text1" w:themeTint="80"/>
              <w:sz w:val="20"/>
              <w:szCs w:val="20"/>
            </w:rPr>
            <w:t>generic</w:t>
          </w:r>
        </w:p>
      </w:docPartBody>
    </w:docPart>
    <w:docPart>
      <w:docPartPr>
        <w:name w:val="9B05BDF7480C499C97DB44362A37E843"/>
        <w:category>
          <w:name w:val="General"/>
          <w:gallery w:val="placeholder"/>
        </w:category>
        <w:types>
          <w:type w:val="bbPlcHdr"/>
        </w:types>
        <w:behaviors>
          <w:behavior w:val="content"/>
        </w:behaviors>
        <w:guid w:val="{2C588D1E-B56E-4050-8602-15A373401A67}"/>
      </w:docPartPr>
      <w:docPartBody>
        <w:p w:rsidR="003700F5" w:rsidRDefault="0024642F" w:rsidP="0024642F">
          <w:pPr>
            <w:pStyle w:val="9B05BDF7480C499C97DB44362A37E84367"/>
          </w:pPr>
          <w:r w:rsidRPr="00860D4D">
            <w:rPr>
              <w:b/>
              <w:color w:val="7F7F7F" w:themeColor="text1" w:themeTint="80"/>
              <w:sz w:val="20"/>
              <w:szCs w:val="20"/>
            </w:rPr>
            <w:t>Manufacturer</w:t>
          </w:r>
          <w:r>
            <w:rPr>
              <w:b/>
              <w:color w:val="7F7F7F" w:themeColor="text1" w:themeTint="80"/>
              <w:sz w:val="20"/>
              <w:szCs w:val="20"/>
            </w:rPr>
            <w:t xml:space="preserve"> </w:t>
          </w:r>
          <w:r w:rsidRPr="00860D4D">
            <w:rPr>
              <w:b/>
              <w:color w:val="7F7F7F" w:themeColor="text1" w:themeTint="80"/>
              <w:sz w:val="20"/>
              <w:szCs w:val="20"/>
            </w:rPr>
            <w:t>** only R or TM on first mention of the drug and not throughout</w:t>
          </w:r>
        </w:p>
      </w:docPartBody>
    </w:docPart>
    <w:docPart>
      <w:docPartPr>
        <w:name w:val="C1C33632937E4EBDA7F5D17999C0E08D"/>
        <w:category>
          <w:name w:val="General"/>
          <w:gallery w:val="placeholder"/>
        </w:category>
        <w:types>
          <w:type w:val="bbPlcHdr"/>
        </w:types>
        <w:behaviors>
          <w:behavior w:val="content"/>
        </w:behaviors>
        <w:guid w:val="{E3687589-454F-4B9A-8A42-E96F4607BC5E}"/>
      </w:docPartPr>
      <w:docPartBody>
        <w:p w:rsidR="007708AA" w:rsidRDefault="0024642F" w:rsidP="0024642F">
          <w:pPr>
            <w:pStyle w:val="C1C33632937E4EBDA7F5D17999C0E08D45"/>
          </w:pPr>
          <w:r w:rsidRPr="00DF56E3">
            <w:rPr>
              <w:rStyle w:val="PlaceholderText"/>
              <w:rFonts w:eastAsiaTheme="minorHAnsi"/>
              <w:sz w:val="20"/>
            </w:rPr>
            <w:t>® or ™</w:t>
          </w:r>
        </w:p>
      </w:docPartBody>
    </w:docPart>
    <w:docPart>
      <w:docPartPr>
        <w:name w:val="98A1F216A7934F8D860EF2D7885F87AA"/>
        <w:category>
          <w:name w:val="General"/>
          <w:gallery w:val="placeholder"/>
        </w:category>
        <w:types>
          <w:type w:val="bbPlcHdr"/>
        </w:types>
        <w:behaviors>
          <w:behavior w:val="content"/>
        </w:behaviors>
        <w:guid w:val="{9FBDF73C-88A6-41BB-8BF3-57A6454EA0CD}"/>
      </w:docPartPr>
      <w:docPartBody>
        <w:p w:rsidR="00972AA5" w:rsidRDefault="007266D9" w:rsidP="007266D9">
          <w:pPr>
            <w:pStyle w:val="98A1F216A7934F8D860EF2D7885F87AA"/>
          </w:pPr>
          <w:r w:rsidRPr="00790B4B">
            <w:rPr>
              <w:rFonts w:eastAsia="Arial"/>
              <w:sz w:val="20"/>
              <w:szCs w:val="20"/>
            </w:rPr>
            <w:t>Please include information geared to SmartPA or SmartFusion in this section of PA Criteria</w:t>
          </w:r>
          <w:r w:rsidRPr="00790B4B">
            <w:rPr>
              <w:rStyle w:val="PlaceholderText"/>
              <w:rFonts w:eastAsia="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32637"/>
    <w:multiLevelType w:val="hybridMultilevel"/>
    <w:tmpl w:val="01DE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FA6F3E"/>
    <w:multiLevelType w:val="hybridMultilevel"/>
    <w:tmpl w:val="0562CA04"/>
    <w:lvl w:ilvl="0" w:tplc="DA0C89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9B4273"/>
    <w:multiLevelType w:val="hybridMultilevel"/>
    <w:tmpl w:val="56CEABF6"/>
    <w:lvl w:ilvl="0" w:tplc="13AE4B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657646">
    <w:abstractNumId w:val="2"/>
  </w:num>
  <w:num w:numId="2" w16cid:durableId="112673659">
    <w:abstractNumId w:val="0"/>
  </w:num>
  <w:num w:numId="3" w16cid:durableId="169168164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A2"/>
    <w:rsid w:val="000858B2"/>
    <w:rsid w:val="000B35E0"/>
    <w:rsid w:val="00156B8B"/>
    <w:rsid w:val="0020294C"/>
    <w:rsid w:val="00210650"/>
    <w:rsid w:val="0024642F"/>
    <w:rsid w:val="00250F45"/>
    <w:rsid w:val="00314642"/>
    <w:rsid w:val="003700F5"/>
    <w:rsid w:val="003D02FB"/>
    <w:rsid w:val="003E60D0"/>
    <w:rsid w:val="003F23F0"/>
    <w:rsid w:val="004329BB"/>
    <w:rsid w:val="004A375C"/>
    <w:rsid w:val="00585D8B"/>
    <w:rsid w:val="00666B67"/>
    <w:rsid w:val="00690995"/>
    <w:rsid w:val="006B3308"/>
    <w:rsid w:val="007266D9"/>
    <w:rsid w:val="007708AA"/>
    <w:rsid w:val="007E3022"/>
    <w:rsid w:val="008F12A2"/>
    <w:rsid w:val="00906D27"/>
    <w:rsid w:val="00947E69"/>
    <w:rsid w:val="00972AA5"/>
    <w:rsid w:val="00A00327"/>
    <w:rsid w:val="00A21F59"/>
    <w:rsid w:val="00D3358D"/>
    <w:rsid w:val="00D37016"/>
    <w:rsid w:val="00DD6F73"/>
    <w:rsid w:val="00E6582C"/>
    <w:rsid w:val="00F3199B"/>
    <w:rsid w:val="00F40467"/>
    <w:rsid w:val="00F71253"/>
    <w:rsid w:val="00F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253"/>
    <w:rPr>
      <w:color w:val="808080"/>
    </w:rPr>
  </w:style>
  <w:style w:type="paragraph" w:styleId="NoSpacing">
    <w:name w:val="No Spacing"/>
    <w:uiPriority w:val="1"/>
    <w:qFormat/>
    <w:rsid w:val="00F71253"/>
    <w:pPr>
      <w:spacing w:after="0" w:line="240" w:lineRule="auto"/>
    </w:pPr>
    <w:rPr>
      <w:rFonts w:ascii="Arial" w:eastAsia="Times New Roman" w:hAnsi="Arial" w:cs="Arial"/>
      <w:sz w:val="24"/>
      <w:szCs w:val="24"/>
    </w:rPr>
  </w:style>
  <w:style w:type="paragraph" w:customStyle="1" w:styleId="AA60EE451BBC4C06BFB9379D909DDB8067">
    <w:name w:val="AA60EE451BBC4C06BFB9379D909DDB8067"/>
    <w:rsid w:val="0024642F"/>
    <w:pPr>
      <w:spacing w:after="0" w:line="240" w:lineRule="auto"/>
    </w:pPr>
    <w:rPr>
      <w:rFonts w:ascii="Arial" w:eastAsia="Times New Roman" w:hAnsi="Arial" w:cs="Arial"/>
      <w:sz w:val="24"/>
      <w:szCs w:val="24"/>
    </w:rPr>
  </w:style>
  <w:style w:type="paragraph" w:customStyle="1" w:styleId="C1C33632937E4EBDA7F5D17999C0E08D45">
    <w:name w:val="C1C33632937E4EBDA7F5D17999C0E08D45"/>
    <w:rsid w:val="0024642F"/>
    <w:pPr>
      <w:spacing w:after="0" w:line="240" w:lineRule="auto"/>
    </w:pPr>
    <w:rPr>
      <w:rFonts w:ascii="Arial" w:eastAsia="Times New Roman" w:hAnsi="Arial" w:cs="Arial"/>
      <w:sz w:val="24"/>
      <w:szCs w:val="24"/>
    </w:rPr>
  </w:style>
  <w:style w:type="paragraph" w:customStyle="1" w:styleId="830DDE662E6E4B2799DB58AF8E0424EF67">
    <w:name w:val="830DDE662E6E4B2799DB58AF8E0424EF67"/>
    <w:rsid w:val="0024642F"/>
    <w:pPr>
      <w:spacing w:after="0" w:line="240" w:lineRule="auto"/>
    </w:pPr>
    <w:rPr>
      <w:rFonts w:ascii="Arial" w:eastAsia="Times New Roman" w:hAnsi="Arial" w:cs="Arial"/>
      <w:sz w:val="24"/>
      <w:szCs w:val="24"/>
    </w:rPr>
  </w:style>
  <w:style w:type="paragraph" w:customStyle="1" w:styleId="9B05BDF7480C499C97DB44362A37E84367">
    <w:name w:val="9B05BDF7480C499C97DB44362A37E84367"/>
    <w:rsid w:val="0024642F"/>
    <w:pPr>
      <w:spacing w:after="0" w:line="240" w:lineRule="auto"/>
    </w:pPr>
    <w:rPr>
      <w:rFonts w:ascii="Arial" w:eastAsia="Times New Roman" w:hAnsi="Arial" w:cs="Arial"/>
      <w:sz w:val="24"/>
      <w:szCs w:val="24"/>
    </w:rPr>
  </w:style>
  <w:style w:type="paragraph" w:customStyle="1" w:styleId="9DDD2576050E461BB879FAC729BC386170">
    <w:name w:val="9DDD2576050E461BB879FAC729BC386170"/>
    <w:rsid w:val="0024642F"/>
    <w:pPr>
      <w:spacing w:after="0" w:line="240" w:lineRule="auto"/>
    </w:pPr>
    <w:rPr>
      <w:rFonts w:ascii="Arial" w:eastAsia="Times New Roman" w:hAnsi="Arial" w:cs="Arial"/>
      <w:sz w:val="24"/>
      <w:szCs w:val="24"/>
    </w:rPr>
  </w:style>
  <w:style w:type="paragraph" w:customStyle="1" w:styleId="51BEEC8C00114EDDA4A49A34EF6C5F8A70">
    <w:name w:val="51BEEC8C00114EDDA4A49A34EF6C5F8A70"/>
    <w:rsid w:val="0024642F"/>
    <w:pPr>
      <w:spacing w:after="0" w:line="240" w:lineRule="auto"/>
    </w:pPr>
    <w:rPr>
      <w:rFonts w:ascii="Arial" w:eastAsia="Times New Roman" w:hAnsi="Arial" w:cs="Arial"/>
      <w:sz w:val="24"/>
      <w:szCs w:val="24"/>
    </w:rPr>
  </w:style>
  <w:style w:type="paragraph" w:customStyle="1" w:styleId="98A1F216A7934F8D860EF2D7885F87AA">
    <w:name w:val="98A1F216A7934F8D860EF2D7885F87AA"/>
    <w:rsid w:val="00726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2B96D3EC922E428F3C2EDEE4973FCF" ma:contentTypeVersion="7" ma:contentTypeDescription="Create a new document." ma:contentTypeScope="" ma:versionID="4ad3420e94c0f820e1bd20c9d80d28b8">
  <xsd:schema xmlns:xsd="http://www.w3.org/2001/XMLSchema" xmlns:xs="http://www.w3.org/2001/XMLSchema" xmlns:p="http://schemas.microsoft.com/office/2006/metadata/properties" xmlns:ns2="c32649c2-d90e-4a17-90b8-39cc93769b83" xmlns:ns3="5355a5fe-49c3-4855-b324-ace7f7737888" targetNamespace="http://schemas.microsoft.com/office/2006/metadata/properties" ma:root="true" ma:fieldsID="6e8189bb60e5d4f1cfc984a13848ee0a" ns2:_="" ns3:_="">
    <xsd:import namespace="c32649c2-d90e-4a17-90b8-39cc93769b83"/>
    <xsd:import namespace="5355a5fe-49c3-4855-b324-ace7f77378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649c2-d90e-4a17-90b8-39cc93769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5a5fe-49c3-4855-b324-ace7f77378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41F85-B1F0-47C7-B8AB-5CF4F35A491E}">
  <ds:schemaRefs>
    <ds:schemaRef ds:uri="http://schemas.openxmlformats.org/officeDocument/2006/bibliography"/>
  </ds:schemaRefs>
</ds:datastoreItem>
</file>

<file path=customXml/itemProps2.xml><?xml version="1.0" encoding="utf-8"?>
<ds:datastoreItem xmlns:ds="http://schemas.openxmlformats.org/officeDocument/2006/customXml" ds:itemID="{057E83D0-D932-4644-904F-12E26380FFF8}">
  <ds:schemaRefs>
    <ds:schemaRef ds:uri="http://schemas.microsoft.com/sharepoint/v3/contenttype/forms"/>
  </ds:schemaRefs>
</ds:datastoreItem>
</file>

<file path=customXml/itemProps3.xml><?xml version="1.0" encoding="utf-8"?>
<ds:datastoreItem xmlns:ds="http://schemas.openxmlformats.org/officeDocument/2006/customXml" ds:itemID="{510877B8-A1C8-453C-BFA6-80C76CDCB016}">
  <ds:schemaRefs>
    <ds:schemaRef ds:uri="http://schemas.microsoft.com/office/2006/metadata/properties"/>
  </ds:schemaRefs>
</ds:datastoreItem>
</file>

<file path=customXml/itemProps4.xml><?xml version="1.0" encoding="utf-8"?>
<ds:datastoreItem xmlns:ds="http://schemas.openxmlformats.org/officeDocument/2006/customXml" ds:itemID="{36BD94CC-1AF7-4855-A97C-9F5F906B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649c2-d90e-4a17-90b8-39cc93769b83"/>
    <ds:schemaRef ds:uri="5355a5fe-49c3-4855-b324-ace7f773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7</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Janelle Sheen</dc:creator>
  <cp:lastModifiedBy>Morsches, Phuonglinh</cp:lastModifiedBy>
  <cp:revision>608</cp:revision>
  <cp:lastPrinted>2023-09-19T15:39:00Z</cp:lastPrinted>
  <dcterms:created xsi:type="dcterms:W3CDTF">2023-08-09T18:03:00Z</dcterms:created>
  <dcterms:modified xsi:type="dcterms:W3CDTF">2023-09-25T20:57:00Z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0x010100112B96D3EC922E428F3C2EDEE4973FCF</vt:lpwstr>
  </property>
  <property fmtid="{D5CDD505-2E9C-101B-9397-08002B2CF9AE}" pid="3" name="AuthorIds_UIVersion_1024">
    <vt:lpwstr>11</vt:lpwstr>
  </property>
  <property fmtid="{D5CDD505-2E9C-101B-9397-08002B2CF9AE}" pid="4" name="Order">
    <vt:r8>759900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