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DF053" w14:textId="681354FB" w:rsidR="003F2BC8" w:rsidRPr="00AA3A03" w:rsidRDefault="003F2BC8" w:rsidP="00A43F23">
      <w:pPr>
        <w:pStyle w:val="Title"/>
        <w:framePr w:w="7186" w:h="901" w:hRule="exact" w:wrap="around" w:hAnchor="page" w:x="886" w:y="1081"/>
        <w:rPr>
          <w:color w:val="000099"/>
        </w:rPr>
      </w:pPr>
      <w:r>
        <w:rPr>
          <w:color w:val="000099"/>
        </w:rPr>
        <w:t>New Drug Fact Blast</w:t>
      </w:r>
    </w:p>
    <w:p w14:paraId="08BDF054" w14:textId="77777777" w:rsidR="003F2BC8" w:rsidRDefault="003F2BC8" w:rsidP="003F2BC8"/>
    <w:p w14:paraId="08BDF055" w14:textId="77777777" w:rsidR="003F2BC8" w:rsidRDefault="003F2BC8" w:rsidP="003F2BC8"/>
    <w:p w14:paraId="08BDF056" w14:textId="77777777" w:rsidR="003F2BC8" w:rsidRDefault="003F2BC8" w:rsidP="003F2BC8"/>
    <w:p w14:paraId="08BDF057" w14:textId="309C896D" w:rsidR="00B43216" w:rsidRPr="00F84BE0" w:rsidRDefault="00DD7B75" w:rsidP="00A43F23">
      <w:pPr>
        <w:pStyle w:val="Title2"/>
        <w:framePr w:wrap="around" w:hAnchor="page" w:x="961" w:y="1891"/>
      </w:pPr>
      <w:r>
        <w:t>Clinical Services</w:t>
      </w:r>
    </w:p>
    <w:p w14:paraId="08BDF058" w14:textId="77777777" w:rsidR="003F2BC8" w:rsidRPr="00F84BE0" w:rsidRDefault="003F2BC8" w:rsidP="003F2BC8"/>
    <w:tbl>
      <w:tblPr>
        <w:tblW w:w="5000" w:type="pct"/>
        <w:tblInd w:w="108" w:type="dxa"/>
        <w:tblBorders>
          <w:top w:val="single" w:sz="4" w:space="0" w:color="2895D5"/>
          <w:left w:val="single" w:sz="4" w:space="0" w:color="2895D5"/>
          <w:bottom w:val="single" w:sz="4" w:space="0" w:color="2895D5"/>
          <w:right w:val="single" w:sz="4" w:space="0" w:color="2895D5"/>
          <w:insideH w:val="single" w:sz="4" w:space="0" w:color="2895D5"/>
          <w:insideV w:val="single" w:sz="4" w:space="0" w:color="2895D5"/>
        </w:tblBorders>
        <w:tblLayout w:type="fixed"/>
        <w:tblLook w:val="01E0" w:firstRow="1" w:lastRow="1" w:firstColumn="1" w:lastColumn="1" w:noHBand="0" w:noVBand="0"/>
      </w:tblPr>
      <w:tblGrid>
        <w:gridCol w:w="2441"/>
        <w:gridCol w:w="8354"/>
      </w:tblGrid>
      <w:tr w:rsidR="00DD7B75" w:rsidRPr="00DD7B75" w14:paraId="1B4B063A" w14:textId="77777777" w:rsidTr="0089062E">
        <w:tc>
          <w:tcPr>
            <w:tcW w:w="2441" w:type="dxa"/>
            <w:tcBorders>
              <w:top w:val="nil"/>
              <w:left w:val="nil"/>
              <w:bottom w:val="single" w:sz="4" w:space="0" w:color="FFFFFF" w:themeColor="background1"/>
              <w:right w:val="single" w:sz="4" w:space="0" w:color="FFFFFF" w:themeColor="background1"/>
            </w:tcBorders>
            <w:shd w:val="clear" w:color="auto" w:fill="000099"/>
          </w:tcPr>
          <w:p w14:paraId="593C4A58" w14:textId="15A68378" w:rsidR="00DD7B75" w:rsidRPr="00DD7B75" w:rsidRDefault="00694030" w:rsidP="00694030">
            <w:pPr>
              <w:tabs>
                <w:tab w:val="left" w:pos="2400"/>
              </w:tabs>
              <w:suppressAutoHyphens/>
              <w:spacing w:before="60" w:after="60" w:line="220" w:lineRule="exact"/>
              <w:rPr>
                <w:b/>
                <w:color w:val="FFFFFF"/>
                <w:sz w:val="20"/>
                <w:szCs w:val="20"/>
              </w:rPr>
            </w:pPr>
            <w:r>
              <w:rPr>
                <w:b/>
                <w:color w:val="FFFFFF"/>
                <w:sz w:val="20"/>
                <w:szCs w:val="20"/>
              </w:rPr>
              <w:t>Drug/Manufacturer:</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78FCF4DF" w14:textId="51DE0A46" w:rsidR="00804AAC" w:rsidRPr="00386897" w:rsidRDefault="003E608F" w:rsidP="0089062E">
            <w:pPr>
              <w:tabs>
                <w:tab w:val="center" w:pos="4069"/>
              </w:tabs>
              <w:rPr>
                <w:rFonts w:eastAsia="Arial"/>
                <w:b/>
                <w:bCs/>
                <w:sz w:val="20"/>
                <w:szCs w:val="20"/>
              </w:rPr>
            </w:pPr>
            <w:proofErr w:type="spellStart"/>
            <w:r>
              <w:rPr>
                <w:rFonts w:eastAsia="Arial"/>
                <w:b/>
                <w:bCs/>
                <w:sz w:val="20"/>
                <w:szCs w:val="20"/>
              </w:rPr>
              <w:t>Vyjuvek</w:t>
            </w:r>
            <w:proofErr w:type="spellEnd"/>
            <w:r w:rsidRPr="00740A28">
              <w:rPr>
                <w:rFonts w:eastAsia="Arial"/>
                <w:b/>
                <w:bCs/>
                <w:sz w:val="20"/>
                <w:szCs w:val="20"/>
                <w:vertAlign w:val="superscript"/>
              </w:rPr>
              <w:t>™</w:t>
            </w:r>
            <w:r>
              <w:rPr>
                <w:rFonts w:eastAsia="Arial"/>
                <w:b/>
                <w:bCs/>
                <w:sz w:val="20"/>
                <w:szCs w:val="20"/>
              </w:rPr>
              <w:t xml:space="preserve"> (</w:t>
            </w:r>
            <w:proofErr w:type="spellStart"/>
            <w:r>
              <w:rPr>
                <w:rFonts w:eastAsia="Arial"/>
                <w:b/>
                <w:bCs/>
                <w:sz w:val="20"/>
                <w:szCs w:val="20"/>
              </w:rPr>
              <w:t>beremagene</w:t>
            </w:r>
            <w:proofErr w:type="spellEnd"/>
            <w:r>
              <w:rPr>
                <w:rFonts w:eastAsia="Arial"/>
                <w:b/>
                <w:bCs/>
                <w:sz w:val="20"/>
                <w:szCs w:val="20"/>
              </w:rPr>
              <w:t xml:space="preserve"> </w:t>
            </w:r>
            <w:proofErr w:type="spellStart"/>
            <w:r>
              <w:rPr>
                <w:rFonts w:eastAsia="Arial"/>
                <w:b/>
                <w:bCs/>
                <w:sz w:val="20"/>
                <w:szCs w:val="20"/>
              </w:rPr>
              <w:t>geperpavec-svdt</w:t>
            </w:r>
            <w:proofErr w:type="spellEnd"/>
            <w:r>
              <w:rPr>
                <w:rFonts w:eastAsia="Arial"/>
                <w:b/>
                <w:bCs/>
                <w:sz w:val="20"/>
                <w:szCs w:val="20"/>
              </w:rPr>
              <w:t>)</w:t>
            </w:r>
            <w:r w:rsidR="00740A28">
              <w:rPr>
                <w:rFonts w:eastAsia="Arial"/>
                <w:b/>
                <w:bCs/>
                <w:sz w:val="20"/>
                <w:szCs w:val="20"/>
              </w:rPr>
              <w:t xml:space="preserve"> [</w:t>
            </w:r>
            <w:r>
              <w:rPr>
                <w:rFonts w:eastAsia="Arial"/>
                <w:b/>
                <w:bCs/>
                <w:sz w:val="20"/>
                <w:szCs w:val="20"/>
              </w:rPr>
              <w:t>Krystal Biotech, Inc.</w:t>
            </w:r>
            <w:r w:rsidR="00740A28">
              <w:rPr>
                <w:rFonts w:eastAsia="Arial"/>
                <w:b/>
                <w:bCs/>
                <w:sz w:val="20"/>
                <w:szCs w:val="20"/>
              </w:rPr>
              <w:t>]</w:t>
            </w:r>
            <w:r>
              <w:rPr>
                <w:rFonts w:eastAsia="Arial"/>
                <w:b/>
                <w:bCs/>
                <w:sz w:val="20"/>
                <w:szCs w:val="20"/>
              </w:rPr>
              <w:t xml:space="preserve"> </w:t>
            </w:r>
          </w:p>
        </w:tc>
      </w:tr>
      <w:tr w:rsidR="00DD7B75" w:rsidRPr="00DD7B75" w14:paraId="035D513D" w14:textId="77777777" w:rsidTr="0089062E">
        <w:tc>
          <w:tcPr>
            <w:tcW w:w="2441" w:type="dxa"/>
            <w:tcBorders>
              <w:top w:val="nil"/>
              <w:left w:val="nil"/>
              <w:bottom w:val="single" w:sz="4" w:space="0" w:color="FFFFFF" w:themeColor="background1"/>
              <w:right w:val="single" w:sz="4" w:space="0" w:color="FFFFFF" w:themeColor="background1"/>
            </w:tcBorders>
            <w:shd w:val="clear" w:color="auto" w:fill="000099"/>
          </w:tcPr>
          <w:p w14:paraId="283A9240" w14:textId="77777777" w:rsidR="00DD7B75" w:rsidRPr="00DD7B75" w:rsidRDefault="00DD7B75" w:rsidP="00DD7B75">
            <w:pPr>
              <w:tabs>
                <w:tab w:val="left" w:pos="2400"/>
              </w:tabs>
              <w:suppressAutoHyphens/>
              <w:spacing w:before="60" w:after="60" w:line="220" w:lineRule="exact"/>
              <w:rPr>
                <w:b/>
                <w:color w:val="FFFFFF"/>
                <w:sz w:val="20"/>
                <w:szCs w:val="20"/>
              </w:rPr>
            </w:pPr>
            <w:r w:rsidRPr="00DD7B75">
              <w:rPr>
                <w:b/>
                <w:color w:val="FFFFFF"/>
                <w:sz w:val="20"/>
                <w:szCs w:val="20"/>
              </w:rPr>
              <w:t>Dosage Formulations:</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6A09570C" w14:textId="5FC89997" w:rsidR="009B33C4" w:rsidRPr="00386897" w:rsidRDefault="00740A28" w:rsidP="0089062E">
            <w:pPr>
              <w:pStyle w:val="NoSpacing"/>
              <w:rPr>
                <w:rFonts w:eastAsia="Arial"/>
                <w:sz w:val="20"/>
                <w:szCs w:val="20"/>
              </w:rPr>
            </w:pPr>
            <w:r>
              <w:rPr>
                <w:rFonts w:eastAsia="Arial"/>
                <w:sz w:val="20"/>
                <w:szCs w:val="20"/>
              </w:rPr>
              <w:t xml:space="preserve">Biological suspension mixed with excipient gel for topical application. </w:t>
            </w:r>
          </w:p>
        </w:tc>
      </w:tr>
      <w:tr w:rsidR="00DD7B75" w:rsidRPr="00DD7B75" w14:paraId="24C364FD" w14:textId="77777777" w:rsidTr="0089062E">
        <w:tc>
          <w:tcPr>
            <w:tcW w:w="2441" w:type="dxa"/>
            <w:tcBorders>
              <w:top w:val="nil"/>
              <w:left w:val="nil"/>
              <w:bottom w:val="single" w:sz="4" w:space="0" w:color="FFFFFF" w:themeColor="background1"/>
              <w:right w:val="single" w:sz="4" w:space="0" w:color="FFFFFF" w:themeColor="background1"/>
            </w:tcBorders>
            <w:shd w:val="clear" w:color="auto" w:fill="000099"/>
          </w:tcPr>
          <w:p w14:paraId="2E023786" w14:textId="7D879997" w:rsidR="00DD7B75" w:rsidRPr="00DD7B75" w:rsidRDefault="00694030" w:rsidP="00DD7B75">
            <w:pPr>
              <w:tabs>
                <w:tab w:val="left" w:pos="2400"/>
              </w:tabs>
              <w:suppressAutoHyphens/>
              <w:spacing w:before="60" w:after="60" w:line="220" w:lineRule="exact"/>
              <w:rPr>
                <w:b/>
                <w:color w:val="FFFFFF"/>
                <w:sz w:val="20"/>
                <w:szCs w:val="20"/>
              </w:rPr>
            </w:pPr>
            <w:r w:rsidRPr="00DD7B75">
              <w:rPr>
                <w:b/>
                <w:color w:val="FFFFFF"/>
                <w:sz w:val="20"/>
                <w:szCs w:val="20"/>
              </w:rPr>
              <w:t xml:space="preserve">FDA Approval Date: </w:t>
            </w:r>
            <w:r>
              <w:rPr>
                <w:b/>
                <w:color w:val="FFFFFF"/>
                <w:sz w:val="20"/>
                <w:szCs w:val="20"/>
              </w:rPr>
              <w:t>FDB File Date:</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2E06BB9F" w14:textId="090B4FE0" w:rsidR="00DD7B75" w:rsidRDefault="003E608F" w:rsidP="0089062E">
            <w:pPr>
              <w:rPr>
                <w:rFonts w:eastAsia="Arial"/>
                <w:sz w:val="20"/>
                <w:szCs w:val="20"/>
              </w:rPr>
            </w:pPr>
            <w:r>
              <w:rPr>
                <w:rFonts w:eastAsia="Arial"/>
                <w:sz w:val="20"/>
                <w:szCs w:val="20"/>
              </w:rPr>
              <w:t>FDA: 5/19/2023</w:t>
            </w:r>
          </w:p>
          <w:p w14:paraId="2618E985" w14:textId="5DF86F7D" w:rsidR="003E608F" w:rsidRPr="00386897" w:rsidRDefault="003E608F" w:rsidP="0089062E">
            <w:pPr>
              <w:rPr>
                <w:rFonts w:eastAsia="Arial"/>
                <w:sz w:val="20"/>
                <w:szCs w:val="20"/>
              </w:rPr>
            </w:pPr>
            <w:r>
              <w:rPr>
                <w:rFonts w:eastAsia="Arial"/>
                <w:sz w:val="20"/>
                <w:szCs w:val="20"/>
              </w:rPr>
              <w:t>FDB: 6/11/2023</w:t>
            </w:r>
          </w:p>
        </w:tc>
      </w:tr>
      <w:tr w:rsidR="00DD7B75" w:rsidRPr="00DD7B75" w14:paraId="4E0F0B7B" w14:textId="77777777" w:rsidTr="0089062E">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32FDB904" w14:textId="77777777" w:rsidR="00DD7B75" w:rsidRPr="00DD7B75" w:rsidRDefault="00DD7B75" w:rsidP="00DD7B75">
            <w:pPr>
              <w:tabs>
                <w:tab w:val="left" w:pos="2400"/>
              </w:tabs>
              <w:suppressAutoHyphens/>
              <w:spacing w:before="60" w:after="60" w:line="220" w:lineRule="exact"/>
              <w:rPr>
                <w:b/>
                <w:color w:val="FFFFFF"/>
                <w:sz w:val="20"/>
                <w:szCs w:val="20"/>
              </w:rPr>
            </w:pPr>
            <w:r w:rsidRPr="00DD7B75">
              <w:rPr>
                <w:b/>
                <w:color w:val="FFFFFF"/>
                <w:sz w:val="20"/>
                <w:szCs w:val="20"/>
              </w:rPr>
              <w:t xml:space="preserve">Indication: </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4AAF9C61" w14:textId="1D719F1D" w:rsidR="009B33C4" w:rsidRPr="00386897" w:rsidRDefault="003E608F" w:rsidP="0089062E">
            <w:pPr>
              <w:pStyle w:val="NoSpacing"/>
              <w:rPr>
                <w:rFonts w:eastAsia="Arial"/>
                <w:sz w:val="20"/>
                <w:szCs w:val="20"/>
              </w:rPr>
            </w:pPr>
            <w:r>
              <w:rPr>
                <w:rFonts w:eastAsia="Arial"/>
                <w:sz w:val="20"/>
                <w:szCs w:val="20"/>
              </w:rPr>
              <w:t xml:space="preserve">Treatment of wounds in patients 6 months of age and older with dystrophic epidermolysis bullosa </w:t>
            </w:r>
            <w:r w:rsidR="00740A28">
              <w:rPr>
                <w:rFonts w:eastAsia="Arial"/>
                <w:sz w:val="20"/>
                <w:szCs w:val="20"/>
              </w:rPr>
              <w:t xml:space="preserve">(DEB) </w:t>
            </w:r>
            <w:r>
              <w:rPr>
                <w:rFonts w:eastAsia="Arial"/>
                <w:sz w:val="20"/>
                <w:szCs w:val="20"/>
              </w:rPr>
              <w:t xml:space="preserve">with mutations(s) in the </w:t>
            </w:r>
            <w:r w:rsidRPr="003E608F">
              <w:rPr>
                <w:rFonts w:eastAsia="Arial"/>
                <w:i/>
                <w:iCs/>
                <w:sz w:val="20"/>
                <w:szCs w:val="20"/>
              </w:rPr>
              <w:t>collagen type VII alpha 1 chain (COL7A1)</w:t>
            </w:r>
            <w:r>
              <w:rPr>
                <w:rFonts w:eastAsia="Arial"/>
                <w:sz w:val="20"/>
                <w:szCs w:val="20"/>
              </w:rPr>
              <w:t xml:space="preserve"> gene. </w:t>
            </w:r>
          </w:p>
        </w:tc>
      </w:tr>
      <w:tr w:rsidR="00DD7B75" w:rsidRPr="00DD7B75" w14:paraId="5F6D1D42" w14:textId="77777777" w:rsidTr="0089062E">
        <w:trPr>
          <w:trHeight w:val="665"/>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32384A25" w14:textId="77777777" w:rsidR="00DD7B75" w:rsidRPr="00DD7B75" w:rsidRDefault="00DD7B75" w:rsidP="00DD7B75">
            <w:pPr>
              <w:tabs>
                <w:tab w:val="left" w:pos="2400"/>
              </w:tabs>
              <w:suppressAutoHyphens/>
              <w:spacing w:before="60" w:after="60" w:line="220" w:lineRule="exact"/>
              <w:rPr>
                <w:b/>
                <w:color w:val="FFFFFF"/>
                <w:sz w:val="20"/>
                <w:szCs w:val="20"/>
              </w:rPr>
            </w:pPr>
            <w:r w:rsidRPr="00DD7B75">
              <w:rPr>
                <w:b/>
                <w:color w:val="FFFFFF"/>
                <w:sz w:val="20"/>
                <w:szCs w:val="20"/>
              </w:rPr>
              <w:t>Mechanism of Action:</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609A0CBB" w14:textId="6074ED0C" w:rsidR="00221BE2" w:rsidRDefault="003E608F" w:rsidP="00EE1A19">
            <w:pPr>
              <w:pStyle w:val="NoSpacing"/>
              <w:rPr>
                <w:rFonts w:eastAsia="Arial"/>
                <w:sz w:val="20"/>
                <w:szCs w:val="20"/>
              </w:rPr>
            </w:pPr>
            <w:r>
              <w:rPr>
                <w:rFonts w:eastAsia="Arial"/>
                <w:sz w:val="20"/>
                <w:szCs w:val="20"/>
              </w:rPr>
              <w:t xml:space="preserve">Dystrophic epidermolysis bullosa (DEB) is caused by mutation(s) in the </w:t>
            </w:r>
            <w:r w:rsidRPr="00292634">
              <w:rPr>
                <w:rFonts w:eastAsia="Arial"/>
                <w:i/>
                <w:iCs/>
                <w:sz w:val="20"/>
                <w:szCs w:val="20"/>
              </w:rPr>
              <w:t>COL7A1</w:t>
            </w:r>
            <w:r>
              <w:rPr>
                <w:rFonts w:eastAsia="Arial"/>
                <w:sz w:val="20"/>
                <w:szCs w:val="20"/>
              </w:rPr>
              <w:t xml:space="preserve"> gene, which results in redu</w:t>
            </w:r>
            <w:r w:rsidR="00292634">
              <w:rPr>
                <w:rFonts w:eastAsia="Arial"/>
                <w:sz w:val="20"/>
                <w:szCs w:val="20"/>
              </w:rPr>
              <w:t>c</w:t>
            </w:r>
            <w:r>
              <w:rPr>
                <w:rFonts w:eastAsia="Arial"/>
                <w:sz w:val="20"/>
                <w:szCs w:val="20"/>
              </w:rPr>
              <w:t xml:space="preserve">ed or absent levels of biologically active COL7. </w:t>
            </w:r>
          </w:p>
          <w:p w14:paraId="09C32C61" w14:textId="77777777" w:rsidR="003E608F" w:rsidRDefault="003E608F" w:rsidP="00EE1A19">
            <w:pPr>
              <w:pStyle w:val="NoSpacing"/>
              <w:rPr>
                <w:rFonts w:eastAsia="Arial"/>
                <w:sz w:val="20"/>
                <w:szCs w:val="20"/>
              </w:rPr>
            </w:pPr>
          </w:p>
          <w:p w14:paraId="34814CD3" w14:textId="2AF1EC3C" w:rsidR="003E608F" w:rsidRPr="00386897" w:rsidRDefault="003E608F" w:rsidP="00EE1A19">
            <w:pPr>
              <w:pStyle w:val="NoSpacing"/>
              <w:rPr>
                <w:rFonts w:eastAsia="Arial"/>
                <w:sz w:val="20"/>
                <w:szCs w:val="20"/>
              </w:rPr>
            </w:pPr>
            <w:r>
              <w:rPr>
                <w:rFonts w:eastAsia="Arial"/>
                <w:sz w:val="20"/>
                <w:szCs w:val="20"/>
              </w:rPr>
              <w:t>Vyjuvek can transduce both keratinocyte</w:t>
            </w:r>
            <w:r w:rsidR="00740A28">
              <w:rPr>
                <w:rFonts w:eastAsia="Arial"/>
                <w:sz w:val="20"/>
                <w:szCs w:val="20"/>
              </w:rPr>
              <w:t>s</w:t>
            </w:r>
            <w:r>
              <w:rPr>
                <w:rFonts w:eastAsia="Arial"/>
                <w:sz w:val="20"/>
                <w:szCs w:val="20"/>
              </w:rPr>
              <w:t xml:space="preserve"> and fibroblasts. Following entry of Vyjuvek into the cells, the vector genome is deposited in the nucleus. Once in the nucleus, transcription of the encoded human </w:t>
            </w:r>
            <w:r w:rsidRPr="00292634">
              <w:rPr>
                <w:rFonts w:eastAsia="Arial"/>
                <w:i/>
                <w:iCs/>
                <w:sz w:val="20"/>
                <w:szCs w:val="20"/>
              </w:rPr>
              <w:t>COL7A1</w:t>
            </w:r>
            <w:r>
              <w:rPr>
                <w:rFonts w:eastAsia="Arial"/>
                <w:sz w:val="20"/>
                <w:szCs w:val="20"/>
              </w:rPr>
              <w:t xml:space="preserve"> is initiated. The resulting transcripts allow for production and secretion of COL7 by the cell in its mature form. These COL7 molecules arrange themselves into long, thin bundles that form anchoring fibrils. The anchoring fibrils hold the epidermis and </w:t>
            </w:r>
            <w:r w:rsidR="00292634">
              <w:rPr>
                <w:rFonts w:eastAsia="Arial"/>
                <w:sz w:val="20"/>
                <w:szCs w:val="20"/>
              </w:rPr>
              <w:t>d</w:t>
            </w:r>
            <w:r>
              <w:rPr>
                <w:rFonts w:eastAsia="Arial"/>
                <w:sz w:val="20"/>
                <w:szCs w:val="20"/>
              </w:rPr>
              <w:t xml:space="preserve">ermis together and are essential for maintaining the integrity of the skin. Patients with autosomal dominant DEB (DDEB) have lower than normal functional anchoring fibrils, and patients with </w:t>
            </w:r>
            <w:r w:rsidR="00F7378F">
              <w:rPr>
                <w:rFonts w:eastAsia="Arial"/>
                <w:sz w:val="20"/>
                <w:szCs w:val="20"/>
              </w:rPr>
              <w:t xml:space="preserve">recessive </w:t>
            </w:r>
            <w:r>
              <w:rPr>
                <w:rFonts w:eastAsia="Arial"/>
                <w:sz w:val="20"/>
                <w:szCs w:val="20"/>
              </w:rPr>
              <w:t xml:space="preserve">DEB </w:t>
            </w:r>
            <w:r w:rsidR="00F7378F">
              <w:rPr>
                <w:rFonts w:eastAsia="Arial"/>
                <w:sz w:val="20"/>
                <w:szCs w:val="20"/>
              </w:rPr>
              <w:t xml:space="preserve">(RDEB) </w:t>
            </w:r>
            <w:r>
              <w:rPr>
                <w:rFonts w:eastAsia="Arial"/>
                <w:sz w:val="20"/>
                <w:szCs w:val="20"/>
              </w:rPr>
              <w:t xml:space="preserve">have no functional anchoring fibrils. </w:t>
            </w:r>
          </w:p>
        </w:tc>
      </w:tr>
      <w:tr w:rsidR="00DD7B75" w:rsidRPr="00DD7B75" w14:paraId="7D18C118" w14:textId="77777777" w:rsidTr="0089062E">
        <w:trPr>
          <w:trHeight w:val="440"/>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78084850" w14:textId="77777777" w:rsidR="00DD7B75" w:rsidRPr="00DD7B75" w:rsidRDefault="00DD7B75" w:rsidP="00DD7B75">
            <w:pPr>
              <w:tabs>
                <w:tab w:val="left" w:pos="2400"/>
              </w:tabs>
              <w:suppressAutoHyphens/>
              <w:spacing w:before="60" w:after="60" w:line="220" w:lineRule="exact"/>
              <w:rPr>
                <w:b/>
                <w:color w:val="FFFFFF"/>
                <w:sz w:val="20"/>
                <w:szCs w:val="20"/>
              </w:rPr>
            </w:pPr>
            <w:r w:rsidRPr="00DD7B75">
              <w:rPr>
                <w:b/>
                <w:color w:val="FFFFFF"/>
                <w:sz w:val="20"/>
                <w:szCs w:val="20"/>
              </w:rPr>
              <w:t>Dose/ Administration:</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3909F51E" w14:textId="7FFE5F63" w:rsidR="006C0EF9" w:rsidRPr="006C0EF9" w:rsidRDefault="006C0EF9" w:rsidP="000E4377">
            <w:pPr>
              <w:pStyle w:val="NoSpacing"/>
              <w:rPr>
                <w:rFonts w:eastAsia="Arial"/>
                <w:b/>
                <w:bCs/>
                <w:sz w:val="20"/>
                <w:szCs w:val="20"/>
              </w:rPr>
            </w:pPr>
            <w:r>
              <w:rPr>
                <w:rFonts w:eastAsia="Arial"/>
                <w:b/>
                <w:bCs/>
                <w:sz w:val="20"/>
                <w:szCs w:val="20"/>
              </w:rPr>
              <w:t>Dosage</w:t>
            </w:r>
          </w:p>
          <w:p w14:paraId="3EF94B56" w14:textId="5244EB76" w:rsidR="00F47A3A" w:rsidRDefault="00292634" w:rsidP="00073FA4">
            <w:pPr>
              <w:pStyle w:val="NoSpacing"/>
              <w:numPr>
                <w:ilvl w:val="0"/>
                <w:numId w:val="45"/>
              </w:numPr>
              <w:rPr>
                <w:rFonts w:eastAsia="Arial"/>
                <w:sz w:val="20"/>
                <w:szCs w:val="20"/>
              </w:rPr>
            </w:pPr>
            <w:r>
              <w:rPr>
                <w:rFonts w:eastAsia="Arial"/>
                <w:sz w:val="20"/>
                <w:szCs w:val="20"/>
              </w:rPr>
              <w:t>The recommended dose of Vyjuvek is based on age and is administered topically to wound(s) once a week. The below table is provided by the manufacturer:</w:t>
            </w:r>
          </w:p>
          <w:p w14:paraId="3608E088" w14:textId="77777777" w:rsidR="00292634" w:rsidRDefault="00292634" w:rsidP="000E4377">
            <w:pPr>
              <w:pStyle w:val="NoSpacing"/>
              <w:rPr>
                <w:rFonts w:eastAsia="Arial"/>
                <w:sz w:val="20"/>
                <w:szCs w:val="20"/>
              </w:rPr>
            </w:pPr>
          </w:p>
          <w:tbl>
            <w:tblPr>
              <w:tblStyle w:val="TableGrid"/>
              <w:tblW w:w="0" w:type="auto"/>
              <w:jc w:val="center"/>
              <w:tblLayout w:type="fixed"/>
              <w:tblLook w:val="04A0" w:firstRow="1" w:lastRow="0" w:firstColumn="1" w:lastColumn="0" w:noHBand="0" w:noVBand="1"/>
            </w:tblPr>
            <w:tblGrid>
              <w:gridCol w:w="2559"/>
              <w:gridCol w:w="2859"/>
              <w:gridCol w:w="2710"/>
            </w:tblGrid>
            <w:tr w:rsidR="00292634" w14:paraId="091F4DF9" w14:textId="77777777" w:rsidTr="00251921">
              <w:trPr>
                <w:jc w:val="center"/>
              </w:trPr>
              <w:tc>
                <w:tcPr>
                  <w:tcW w:w="2559" w:type="dxa"/>
                  <w:shd w:val="clear" w:color="auto" w:fill="FABF8F" w:themeFill="accent6" w:themeFillTint="99"/>
                  <w:vAlign w:val="center"/>
                </w:tcPr>
                <w:p w14:paraId="1B661766" w14:textId="2F9708BB" w:rsidR="00292634" w:rsidRPr="00292634" w:rsidRDefault="00292634" w:rsidP="00292634">
                  <w:pPr>
                    <w:pStyle w:val="NoSpacing"/>
                    <w:jc w:val="center"/>
                    <w:rPr>
                      <w:rFonts w:eastAsia="Arial"/>
                      <w:b/>
                      <w:bCs/>
                      <w:sz w:val="20"/>
                      <w:szCs w:val="20"/>
                    </w:rPr>
                  </w:pPr>
                  <w:r w:rsidRPr="00292634">
                    <w:rPr>
                      <w:rFonts w:eastAsia="Arial"/>
                      <w:b/>
                      <w:bCs/>
                      <w:sz w:val="20"/>
                      <w:szCs w:val="20"/>
                    </w:rPr>
                    <w:t>Age Range</w:t>
                  </w:r>
                </w:p>
              </w:tc>
              <w:tc>
                <w:tcPr>
                  <w:tcW w:w="2859" w:type="dxa"/>
                  <w:shd w:val="clear" w:color="auto" w:fill="FABF8F" w:themeFill="accent6" w:themeFillTint="99"/>
                  <w:vAlign w:val="center"/>
                </w:tcPr>
                <w:p w14:paraId="369C7787" w14:textId="0012E566" w:rsidR="00292634" w:rsidRPr="00292634" w:rsidRDefault="00292634" w:rsidP="00292634">
                  <w:pPr>
                    <w:pStyle w:val="NoSpacing"/>
                    <w:jc w:val="center"/>
                    <w:rPr>
                      <w:rFonts w:eastAsia="Arial"/>
                      <w:b/>
                      <w:bCs/>
                      <w:sz w:val="20"/>
                      <w:szCs w:val="20"/>
                    </w:rPr>
                  </w:pPr>
                  <w:r w:rsidRPr="00292634">
                    <w:rPr>
                      <w:rFonts w:eastAsia="Arial"/>
                      <w:b/>
                      <w:bCs/>
                      <w:sz w:val="20"/>
                      <w:szCs w:val="20"/>
                    </w:rPr>
                    <w:t>Maximum Weekly Dose (plaque forming units; PFU)</w:t>
                  </w:r>
                </w:p>
              </w:tc>
              <w:tc>
                <w:tcPr>
                  <w:tcW w:w="2710" w:type="dxa"/>
                  <w:shd w:val="clear" w:color="auto" w:fill="FABF8F" w:themeFill="accent6" w:themeFillTint="99"/>
                  <w:vAlign w:val="center"/>
                </w:tcPr>
                <w:p w14:paraId="2BA236DC" w14:textId="3B15F01B" w:rsidR="00292634" w:rsidRPr="00292634" w:rsidRDefault="00292634" w:rsidP="00292634">
                  <w:pPr>
                    <w:pStyle w:val="NoSpacing"/>
                    <w:jc w:val="center"/>
                    <w:rPr>
                      <w:rFonts w:eastAsia="Arial"/>
                      <w:b/>
                      <w:bCs/>
                      <w:sz w:val="20"/>
                      <w:szCs w:val="20"/>
                    </w:rPr>
                  </w:pPr>
                  <w:r w:rsidRPr="00292634">
                    <w:rPr>
                      <w:rFonts w:eastAsia="Arial"/>
                      <w:b/>
                      <w:bCs/>
                      <w:sz w:val="20"/>
                      <w:szCs w:val="20"/>
                    </w:rPr>
                    <w:t>Maximum Weekly Volume (mL)</w:t>
                  </w:r>
                </w:p>
              </w:tc>
            </w:tr>
            <w:tr w:rsidR="00292634" w14:paraId="2D7A967B" w14:textId="77777777" w:rsidTr="00251921">
              <w:trPr>
                <w:jc w:val="center"/>
              </w:trPr>
              <w:tc>
                <w:tcPr>
                  <w:tcW w:w="2559" w:type="dxa"/>
                </w:tcPr>
                <w:p w14:paraId="10FEF7D7" w14:textId="41BE65D0" w:rsidR="00292634" w:rsidRDefault="00292634" w:rsidP="00292634">
                  <w:pPr>
                    <w:pStyle w:val="NoSpacing"/>
                    <w:jc w:val="center"/>
                    <w:rPr>
                      <w:rFonts w:eastAsia="Arial"/>
                      <w:sz w:val="20"/>
                      <w:szCs w:val="20"/>
                    </w:rPr>
                  </w:pPr>
                  <w:r>
                    <w:rPr>
                      <w:rFonts w:eastAsia="Arial"/>
                      <w:sz w:val="20"/>
                      <w:szCs w:val="20"/>
                    </w:rPr>
                    <w:t>6 months to &lt;</w:t>
                  </w:r>
                  <w:r w:rsidR="00740A28">
                    <w:rPr>
                      <w:rFonts w:eastAsia="Arial"/>
                      <w:sz w:val="20"/>
                      <w:szCs w:val="20"/>
                    </w:rPr>
                    <w:t xml:space="preserve"> </w:t>
                  </w:r>
                  <w:r>
                    <w:rPr>
                      <w:rFonts w:eastAsia="Arial"/>
                      <w:sz w:val="20"/>
                      <w:szCs w:val="20"/>
                    </w:rPr>
                    <w:t>3 years old</w:t>
                  </w:r>
                </w:p>
              </w:tc>
              <w:tc>
                <w:tcPr>
                  <w:tcW w:w="2859" w:type="dxa"/>
                </w:tcPr>
                <w:p w14:paraId="2076B74B" w14:textId="265FFE7A" w:rsidR="00292634" w:rsidRDefault="00292634" w:rsidP="00292634">
                  <w:pPr>
                    <w:pStyle w:val="NoSpacing"/>
                    <w:jc w:val="center"/>
                    <w:rPr>
                      <w:rFonts w:eastAsia="Arial"/>
                      <w:sz w:val="20"/>
                      <w:szCs w:val="20"/>
                    </w:rPr>
                  </w:pPr>
                  <w:r>
                    <w:rPr>
                      <w:rFonts w:eastAsia="Arial"/>
                      <w:sz w:val="20"/>
                      <w:szCs w:val="20"/>
                    </w:rPr>
                    <w:t>1.6</w:t>
                  </w:r>
                  <w:r w:rsidR="00740A28">
                    <w:rPr>
                      <w:rFonts w:eastAsia="Arial"/>
                      <w:sz w:val="20"/>
                      <w:szCs w:val="20"/>
                    </w:rPr>
                    <w:t xml:space="preserve"> </w:t>
                  </w:r>
                  <w:r>
                    <w:rPr>
                      <w:rFonts w:eastAsia="Arial"/>
                      <w:sz w:val="20"/>
                      <w:szCs w:val="20"/>
                    </w:rPr>
                    <w:t>x</w:t>
                  </w:r>
                  <w:r w:rsidR="00740A28">
                    <w:rPr>
                      <w:rFonts w:eastAsia="Arial"/>
                      <w:sz w:val="20"/>
                      <w:szCs w:val="20"/>
                    </w:rPr>
                    <w:t xml:space="preserve"> </w:t>
                  </w:r>
                  <w:r>
                    <w:rPr>
                      <w:rFonts w:eastAsia="Arial"/>
                      <w:sz w:val="20"/>
                      <w:szCs w:val="20"/>
                    </w:rPr>
                    <w:t>10</w:t>
                  </w:r>
                  <w:r w:rsidRPr="00292634">
                    <w:rPr>
                      <w:rFonts w:eastAsia="Arial"/>
                      <w:sz w:val="20"/>
                      <w:szCs w:val="20"/>
                      <w:vertAlign w:val="superscript"/>
                    </w:rPr>
                    <w:t>9</w:t>
                  </w:r>
                </w:p>
              </w:tc>
              <w:tc>
                <w:tcPr>
                  <w:tcW w:w="2710" w:type="dxa"/>
                </w:tcPr>
                <w:p w14:paraId="056276F7" w14:textId="2D08F33C" w:rsidR="00292634" w:rsidRDefault="00292634" w:rsidP="00292634">
                  <w:pPr>
                    <w:pStyle w:val="NoSpacing"/>
                    <w:jc w:val="center"/>
                    <w:rPr>
                      <w:rFonts w:eastAsia="Arial"/>
                      <w:sz w:val="20"/>
                      <w:szCs w:val="20"/>
                    </w:rPr>
                  </w:pPr>
                  <w:r>
                    <w:rPr>
                      <w:rFonts w:eastAsia="Arial"/>
                      <w:sz w:val="20"/>
                      <w:szCs w:val="20"/>
                    </w:rPr>
                    <w:t>0.8</w:t>
                  </w:r>
                </w:p>
              </w:tc>
            </w:tr>
            <w:tr w:rsidR="00292634" w14:paraId="3D3EBF3E" w14:textId="77777777" w:rsidTr="00251921">
              <w:trPr>
                <w:jc w:val="center"/>
              </w:trPr>
              <w:tc>
                <w:tcPr>
                  <w:tcW w:w="2559" w:type="dxa"/>
                </w:tcPr>
                <w:p w14:paraId="52EBC1BA" w14:textId="4054AFBC" w:rsidR="00292634" w:rsidRDefault="00292634" w:rsidP="00292634">
                  <w:pPr>
                    <w:pStyle w:val="NoSpacing"/>
                    <w:jc w:val="center"/>
                    <w:rPr>
                      <w:rFonts w:eastAsia="Arial"/>
                      <w:sz w:val="20"/>
                      <w:szCs w:val="20"/>
                    </w:rPr>
                  </w:pPr>
                  <w:r>
                    <w:rPr>
                      <w:rFonts w:eastAsia="Arial"/>
                      <w:sz w:val="20"/>
                      <w:szCs w:val="20"/>
                    </w:rPr>
                    <w:sym w:font="Symbol" w:char="F0B3"/>
                  </w:r>
                  <w:r w:rsidR="00740A28">
                    <w:rPr>
                      <w:rFonts w:eastAsia="Arial"/>
                      <w:sz w:val="20"/>
                      <w:szCs w:val="20"/>
                    </w:rPr>
                    <w:t xml:space="preserve"> </w:t>
                  </w:r>
                  <w:r>
                    <w:rPr>
                      <w:rFonts w:eastAsia="Arial"/>
                      <w:sz w:val="20"/>
                      <w:szCs w:val="20"/>
                    </w:rPr>
                    <w:t>3 years old</w:t>
                  </w:r>
                </w:p>
              </w:tc>
              <w:tc>
                <w:tcPr>
                  <w:tcW w:w="2859" w:type="dxa"/>
                </w:tcPr>
                <w:p w14:paraId="3973DCA1" w14:textId="1555C9F3" w:rsidR="00292634" w:rsidRDefault="00292634" w:rsidP="00292634">
                  <w:pPr>
                    <w:pStyle w:val="NoSpacing"/>
                    <w:jc w:val="center"/>
                    <w:rPr>
                      <w:rFonts w:eastAsia="Arial"/>
                      <w:sz w:val="20"/>
                      <w:szCs w:val="20"/>
                    </w:rPr>
                  </w:pPr>
                  <w:r>
                    <w:rPr>
                      <w:rFonts w:eastAsia="Arial"/>
                      <w:sz w:val="20"/>
                      <w:szCs w:val="20"/>
                    </w:rPr>
                    <w:t>3.2</w:t>
                  </w:r>
                  <w:r w:rsidR="00740A28">
                    <w:rPr>
                      <w:rFonts w:eastAsia="Arial"/>
                      <w:sz w:val="20"/>
                      <w:szCs w:val="20"/>
                    </w:rPr>
                    <w:t xml:space="preserve"> </w:t>
                  </w:r>
                  <w:r>
                    <w:rPr>
                      <w:rFonts w:eastAsia="Arial"/>
                      <w:sz w:val="20"/>
                      <w:szCs w:val="20"/>
                    </w:rPr>
                    <w:t>x</w:t>
                  </w:r>
                  <w:r w:rsidR="00740A28">
                    <w:rPr>
                      <w:rFonts w:eastAsia="Arial"/>
                      <w:sz w:val="20"/>
                      <w:szCs w:val="20"/>
                    </w:rPr>
                    <w:t xml:space="preserve"> </w:t>
                  </w:r>
                  <w:r>
                    <w:rPr>
                      <w:rFonts w:eastAsia="Arial"/>
                      <w:sz w:val="20"/>
                      <w:szCs w:val="20"/>
                    </w:rPr>
                    <w:t>10</w:t>
                  </w:r>
                  <w:r w:rsidRPr="00292634">
                    <w:rPr>
                      <w:rFonts w:eastAsia="Arial"/>
                      <w:sz w:val="20"/>
                      <w:szCs w:val="20"/>
                      <w:vertAlign w:val="superscript"/>
                    </w:rPr>
                    <w:t>9</w:t>
                  </w:r>
                </w:p>
              </w:tc>
              <w:tc>
                <w:tcPr>
                  <w:tcW w:w="2710" w:type="dxa"/>
                </w:tcPr>
                <w:p w14:paraId="2CE3E115" w14:textId="77D8EE02" w:rsidR="00292634" w:rsidRDefault="00292634" w:rsidP="00292634">
                  <w:pPr>
                    <w:pStyle w:val="NoSpacing"/>
                    <w:jc w:val="center"/>
                    <w:rPr>
                      <w:rFonts w:eastAsia="Arial"/>
                      <w:sz w:val="20"/>
                      <w:szCs w:val="20"/>
                    </w:rPr>
                  </w:pPr>
                  <w:r>
                    <w:rPr>
                      <w:rFonts w:eastAsia="Arial"/>
                      <w:sz w:val="20"/>
                      <w:szCs w:val="20"/>
                    </w:rPr>
                    <w:t>1.6</w:t>
                  </w:r>
                </w:p>
              </w:tc>
            </w:tr>
          </w:tbl>
          <w:p w14:paraId="7B09C22F" w14:textId="77777777" w:rsidR="00292634" w:rsidRDefault="00292634" w:rsidP="000E4377">
            <w:pPr>
              <w:pStyle w:val="NoSpacing"/>
              <w:rPr>
                <w:rFonts w:eastAsia="Arial"/>
                <w:sz w:val="20"/>
                <w:szCs w:val="20"/>
              </w:rPr>
            </w:pPr>
          </w:p>
          <w:p w14:paraId="22C875B3" w14:textId="48683854" w:rsidR="00292634" w:rsidRDefault="00073FA4" w:rsidP="00073FA4">
            <w:pPr>
              <w:pStyle w:val="NoSpacing"/>
              <w:numPr>
                <w:ilvl w:val="0"/>
                <w:numId w:val="45"/>
              </w:numPr>
              <w:rPr>
                <w:rFonts w:eastAsia="Arial"/>
                <w:sz w:val="20"/>
                <w:szCs w:val="20"/>
              </w:rPr>
            </w:pPr>
            <w:r>
              <w:rPr>
                <w:rFonts w:eastAsia="Arial"/>
                <w:sz w:val="20"/>
                <w:szCs w:val="20"/>
              </w:rPr>
              <w:t>It may not be possible to apply Vyjuvek gel to all the wounds at each treatment visit.</w:t>
            </w:r>
          </w:p>
          <w:p w14:paraId="4D2CBC58" w14:textId="5598BA8E" w:rsidR="00073FA4" w:rsidRDefault="00073FA4" w:rsidP="00073FA4">
            <w:pPr>
              <w:pStyle w:val="NoSpacing"/>
              <w:numPr>
                <w:ilvl w:val="0"/>
                <w:numId w:val="45"/>
              </w:numPr>
              <w:rPr>
                <w:rFonts w:eastAsia="Arial"/>
                <w:sz w:val="20"/>
                <w:szCs w:val="20"/>
              </w:rPr>
            </w:pPr>
            <w:r>
              <w:rPr>
                <w:rFonts w:eastAsia="Arial"/>
                <w:sz w:val="20"/>
                <w:szCs w:val="20"/>
              </w:rPr>
              <w:t>Apply Vyjuvek gel to wounds until they are closed before selecting new wound(s) to treat. Prioritize weekly treatment to previously treated wounds i</w:t>
            </w:r>
            <w:r w:rsidR="00740A28">
              <w:rPr>
                <w:rFonts w:eastAsia="Arial"/>
                <w:sz w:val="20"/>
                <w:szCs w:val="20"/>
              </w:rPr>
              <w:t>f</w:t>
            </w:r>
            <w:r>
              <w:rPr>
                <w:rFonts w:eastAsia="Arial"/>
                <w:sz w:val="20"/>
                <w:szCs w:val="20"/>
              </w:rPr>
              <w:t xml:space="preserve"> they re-open. </w:t>
            </w:r>
          </w:p>
          <w:p w14:paraId="1E6129F0" w14:textId="7F923D4B" w:rsidR="00073FA4" w:rsidRDefault="00073FA4" w:rsidP="00073FA4">
            <w:pPr>
              <w:pStyle w:val="NoSpacing"/>
              <w:numPr>
                <w:ilvl w:val="0"/>
                <w:numId w:val="45"/>
              </w:numPr>
              <w:rPr>
                <w:rFonts w:eastAsia="Arial"/>
                <w:sz w:val="20"/>
                <w:szCs w:val="20"/>
              </w:rPr>
            </w:pPr>
            <w:r>
              <w:rPr>
                <w:rFonts w:eastAsia="Arial"/>
                <w:sz w:val="20"/>
                <w:szCs w:val="20"/>
              </w:rPr>
              <w:t xml:space="preserve">If a dose is missed, apply Vyjuvek gel as soon as possible and resume weekly dosing thereafter. </w:t>
            </w:r>
          </w:p>
          <w:p w14:paraId="321CA159" w14:textId="77777777" w:rsidR="00073FA4" w:rsidRDefault="00073FA4" w:rsidP="00073FA4">
            <w:pPr>
              <w:pStyle w:val="NoSpacing"/>
              <w:rPr>
                <w:rFonts w:eastAsia="Arial"/>
                <w:sz w:val="20"/>
                <w:szCs w:val="20"/>
              </w:rPr>
            </w:pPr>
          </w:p>
          <w:p w14:paraId="6E7080C9" w14:textId="73312E03" w:rsidR="00073FA4" w:rsidRPr="00F51402" w:rsidRDefault="00073FA4" w:rsidP="00073FA4">
            <w:pPr>
              <w:pStyle w:val="NoSpacing"/>
              <w:rPr>
                <w:rFonts w:eastAsia="Arial"/>
                <w:b/>
                <w:bCs/>
                <w:sz w:val="20"/>
                <w:szCs w:val="20"/>
              </w:rPr>
            </w:pPr>
            <w:r w:rsidRPr="00F51402">
              <w:rPr>
                <w:rFonts w:eastAsia="Arial"/>
                <w:b/>
                <w:bCs/>
                <w:sz w:val="20"/>
                <w:szCs w:val="20"/>
              </w:rPr>
              <w:t>Preparation</w:t>
            </w:r>
          </w:p>
          <w:p w14:paraId="14D36263" w14:textId="6AF02FE1" w:rsidR="007179A3" w:rsidRDefault="007179A3" w:rsidP="00073FA4">
            <w:pPr>
              <w:pStyle w:val="NoSpacing"/>
              <w:numPr>
                <w:ilvl w:val="0"/>
                <w:numId w:val="46"/>
              </w:numPr>
              <w:rPr>
                <w:rFonts w:eastAsia="Arial"/>
                <w:sz w:val="20"/>
                <w:szCs w:val="20"/>
              </w:rPr>
            </w:pPr>
            <w:r>
              <w:rPr>
                <w:rFonts w:eastAsia="Arial"/>
                <w:sz w:val="20"/>
                <w:szCs w:val="20"/>
              </w:rPr>
              <w:t xml:space="preserve">Vials of Vyjuvek must be removed from freezer and allowed to thaw for at least 20 minutes prior to preparation. </w:t>
            </w:r>
          </w:p>
          <w:p w14:paraId="0043F823" w14:textId="6A8BCCC4" w:rsidR="00073FA4" w:rsidRDefault="007179A3" w:rsidP="00073FA4">
            <w:pPr>
              <w:pStyle w:val="NoSpacing"/>
              <w:numPr>
                <w:ilvl w:val="0"/>
                <w:numId w:val="46"/>
              </w:numPr>
              <w:rPr>
                <w:rFonts w:eastAsia="Arial"/>
                <w:sz w:val="20"/>
                <w:szCs w:val="20"/>
              </w:rPr>
            </w:pPr>
            <w:r>
              <w:rPr>
                <w:rFonts w:eastAsia="Arial"/>
                <w:sz w:val="20"/>
                <w:szCs w:val="20"/>
              </w:rPr>
              <w:t xml:space="preserve">Prepare Vyjuvek gel by mixing the Vyjuvek biological suspension into the excipient gel for immediate use within 8 hours of application. </w:t>
            </w:r>
            <w:r w:rsidR="006A3555">
              <w:rPr>
                <w:rFonts w:eastAsia="Arial"/>
                <w:sz w:val="20"/>
                <w:szCs w:val="20"/>
              </w:rPr>
              <w:t>Detailed instructions for the preparation of Vyjuvek are provided by the manufacturer. After preparation</w:t>
            </w:r>
            <w:r w:rsidR="00740A28">
              <w:rPr>
                <w:rFonts w:eastAsia="Arial"/>
                <w:sz w:val="20"/>
                <w:szCs w:val="20"/>
              </w:rPr>
              <w:t>,</w:t>
            </w:r>
            <w:r w:rsidR="006A3555">
              <w:rPr>
                <w:rFonts w:eastAsia="Arial"/>
                <w:sz w:val="20"/>
                <w:szCs w:val="20"/>
              </w:rPr>
              <w:t xml:space="preserve"> </w:t>
            </w:r>
            <w:r w:rsidR="00F51402">
              <w:rPr>
                <w:rFonts w:eastAsia="Arial"/>
                <w:sz w:val="20"/>
                <w:szCs w:val="20"/>
              </w:rPr>
              <w:t xml:space="preserve">Vyjuvek is ready to be administered in four syringes each containing 0.2 to 0.4 mL depending on the patient’s age. </w:t>
            </w:r>
          </w:p>
          <w:p w14:paraId="2DEA3C6E" w14:textId="086DA40B" w:rsidR="007179A3" w:rsidRDefault="007179A3" w:rsidP="00073FA4">
            <w:pPr>
              <w:pStyle w:val="NoSpacing"/>
              <w:numPr>
                <w:ilvl w:val="0"/>
                <w:numId w:val="46"/>
              </w:numPr>
              <w:rPr>
                <w:rFonts w:eastAsia="Arial"/>
                <w:sz w:val="20"/>
                <w:szCs w:val="20"/>
              </w:rPr>
            </w:pPr>
            <w:r>
              <w:rPr>
                <w:rFonts w:eastAsia="Arial"/>
                <w:sz w:val="20"/>
                <w:szCs w:val="20"/>
              </w:rPr>
              <w:t xml:space="preserve">Only a healthcare professional should </w:t>
            </w:r>
            <w:r w:rsidR="00740A28">
              <w:rPr>
                <w:rFonts w:eastAsia="Arial"/>
                <w:sz w:val="20"/>
                <w:szCs w:val="20"/>
              </w:rPr>
              <w:t xml:space="preserve">prepare and </w:t>
            </w:r>
            <w:r>
              <w:rPr>
                <w:rFonts w:eastAsia="Arial"/>
                <w:sz w:val="20"/>
                <w:szCs w:val="20"/>
              </w:rPr>
              <w:t>apply Vyjuvek gel either at a healthcare professional s</w:t>
            </w:r>
            <w:r w:rsidR="00740A28">
              <w:rPr>
                <w:rFonts w:eastAsia="Arial"/>
                <w:sz w:val="20"/>
                <w:szCs w:val="20"/>
              </w:rPr>
              <w:t>e</w:t>
            </w:r>
            <w:r>
              <w:rPr>
                <w:rFonts w:eastAsia="Arial"/>
                <w:sz w:val="20"/>
                <w:szCs w:val="20"/>
              </w:rPr>
              <w:t xml:space="preserve">tting or </w:t>
            </w:r>
            <w:r w:rsidR="00740A28">
              <w:rPr>
                <w:rFonts w:eastAsia="Arial"/>
                <w:sz w:val="20"/>
                <w:szCs w:val="20"/>
              </w:rPr>
              <w:t>the</w:t>
            </w:r>
            <w:r>
              <w:rPr>
                <w:rFonts w:eastAsia="Arial"/>
                <w:sz w:val="20"/>
                <w:szCs w:val="20"/>
              </w:rPr>
              <w:t xml:space="preserve"> home setting. </w:t>
            </w:r>
          </w:p>
          <w:p w14:paraId="5396DD06" w14:textId="0C5C17FE" w:rsidR="007179A3" w:rsidRDefault="007179A3" w:rsidP="007179A3">
            <w:pPr>
              <w:pStyle w:val="NoSpacing"/>
              <w:numPr>
                <w:ilvl w:val="0"/>
                <w:numId w:val="46"/>
              </w:numPr>
              <w:rPr>
                <w:rFonts w:eastAsia="Arial"/>
                <w:sz w:val="20"/>
                <w:szCs w:val="20"/>
              </w:rPr>
            </w:pPr>
            <w:r>
              <w:rPr>
                <w:rFonts w:eastAsia="Arial"/>
                <w:sz w:val="20"/>
                <w:szCs w:val="20"/>
              </w:rPr>
              <w:t>Individuals who are pregnant should not prepare or apply Vyjuvek gel and should avoid direct contact with the treated wounds or dressing</w:t>
            </w:r>
            <w:r w:rsidR="00740A28">
              <w:rPr>
                <w:rFonts w:eastAsia="Arial"/>
                <w:sz w:val="20"/>
                <w:szCs w:val="20"/>
              </w:rPr>
              <w:t>s</w:t>
            </w:r>
            <w:r>
              <w:rPr>
                <w:rFonts w:eastAsia="Arial"/>
                <w:sz w:val="20"/>
                <w:szCs w:val="20"/>
              </w:rPr>
              <w:t xml:space="preserve"> from treated wounds.</w:t>
            </w:r>
          </w:p>
          <w:p w14:paraId="42DD22CE" w14:textId="77777777" w:rsidR="007179A3" w:rsidRDefault="007179A3" w:rsidP="006A3555">
            <w:pPr>
              <w:pStyle w:val="NoSpacing"/>
              <w:rPr>
                <w:rFonts w:eastAsia="Arial"/>
                <w:sz w:val="20"/>
                <w:szCs w:val="20"/>
              </w:rPr>
            </w:pPr>
          </w:p>
          <w:p w14:paraId="1426469C" w14:textId="0D87EAB1" w:rsidR="006A3555" w:rsidRPr="00F51402" w:rsidRDefault="006A3555" w:rsidP="006A3555">
            <w:pPr>
              <w:pStyle w:val="NoSpacing"/>
              <w:rPr>
                <w:rFonts w:eastAsia="Arial"/>
                <w:b/>
                <w:bCs/>
                <w:sz w:val="20"/>
                <w:szCs w:val="20"/>
              </w:rPr>
            </w:pPr>
            <w:r w:rsidRPr="00F51402">
              <w:rPr>
                <w:rFonts w:eastAsia="Arial"/>
                <w:b/>
                <w:bCs/>
                <w:sz w:val="20"/>
                <w:szCs w:val="20"/>
              </w:rPr>
              <w:t>Administration</w:t>
            </w:r>
          </w:p>
          <w:p w14:paraId="5AD17683" w14:textId="40D0E0B0" w:rsidR="006A3555" w:rsidRDefault="00411DE2" w:rsidP="006A3555">
            <w:pPr>
              <w:pStyle w:val="NoSpacing"/>
              <w:numPr>
                <w:ilvl w:val="0"/>
                <w:numId w:val="47"/>
              </w:numPr>
              <w:rPr>
                <w:rFonts w:eastAsia="Arial"/>
                <w:sz w:val="20"/>
                <w:szCs w:val="20"/>
              </w:rPr>
            </w:pPr>
            <w:r>
              <w:rPr>
                <w:rFonts w:eastAsia="Arial"/>
                <w:sz w:val="20"/>
                <w:szCs w:val="20"/>
              </w:rPr>
              <w:lastRenderedPageBreak/>
              <w:t>Apply Vyjuvek gel to the selected wound(s) in droplets spaced evenly within the wound, approximately 1</w:t>
            </w:r>
            <w:r w:rsidR="00740A28">
              <w:rPr>
                <w:rFonts w:eastAsia="Arial"/>
                <w:sz w:val="20"/>
                <w:szCs w:val="20"/>
              </w:rPr>
              <w:t xml:space="preserve"> </w:t>
            </w:r>
            <w:r>
              <w:rPr>
                <w:rFonts w:eastAsia="Arial"/>
                <w:sz w:val="20"/>
                <w:szCs w:val="20"/>
              </w:rPr>
              <w:t>cm-by-1</w:t>
            </w:r>
            <w:r w:rsidR="00740A28">
              <w:rPr>
                <w:rFonts w:eastAsia="Arial"/>
                <w:sz w:val="20"/>
                <w:szCs w:val="20"/>
              </w:rPr>
              <w:t xml:space="preserve"> c</w:t>
            </w:r>
            <w:r>
              <w:rPr>
                <w:rFonts w:eastAsia="Arial"/>
                <w:sz w:val="20"/>
                <w:szCs w:val="20"/>
              </w:rPr>
              <w:t xml:space="preserve">m apart. Avoid touching the administration syringe </w:t>
            </w:r>
            <w:proofErr w:type="gramStart"/>
            <w:r>
              <w:rPr>
                <w:rFonts w:eastAsia="Arial"/>
                <w:sz w:val="20"/>
                <w:szCs w:val="20"/>
              </w:rPr>
              <w:t>to</w:t>
            </w:r>
            <w:proofErr w:type="gramEnd"/>
            <w:r>
              <w:rPr>
                <w:rFonts w:eastAsia="Arial"/>
                <w:sz w:val="20"/>
                <w:szCs w:val="20"/>
              </w:rPr>
              <w:t xml:space="preserve"> the skin. </w:t>
            </w:r>
          </w:p>
          <w:p w14:paraId="5C30FB21" w14:textId="11FC9C65" w:rsidR="006B40FB" w:rsidRDefault="006B40FB" w:rsidP="006A3555">
            <w:pPr>
              <w:pStyle w:val="NoSpacing"/>
              <w:numPr>
                <w:ilvl w:val="0"/>
                <w:numId w:val="47"/>
              </w:numPr>
              <w:rPr>
                <w:rFonts w:eastAsia="Arial"/>
                <w:sz w:val="20"/>
                <w:szCs w:val="20"/>
              </w:rPr>
            </w:pPr>
            <w:r>
              <w:rPr>
                <w:rFonts w:eastAsia="Arial"/>
                <w:sz w:val="20"/>
                <w:szCs w:val="20"/>
              </w:rPr>
              <w:t xml:space="preserve">Use clean scissors to cut the non-adherent hydrophobic dressing to a size slightly larger than the wound and place the dressing atop the Vyjuvek gel droplets. </w:t>
            </w:r>
          </w:p>
          <w:p w14:paraId="1A1A2A6A" w14:textId="6B151365" w:rsidR="006B40FB" w:rsidRDefault="006B40FB" w:rsidP="006A3555">
            <w:pPr>
              <w:pStyle w:val="NoSpacing"/>
              <w:numPr>
                <w:ilvl w:val="0"/>
                <w:numId w:val="47"/>
              </w:numPr>
              <w:rPr>
                <w:rFonts w:eastAsia="Arial"/>
                <w:sz w:val="20"/>
                <w:szCs w:val="20"/>
              </w:rPr>
            </w:pPr>
            <w:r>
              <w:rPr>
                <w:rFonts w:eastAsia="Arial"/>
                <w:sz w:val="20"/>
                <w:szCs w:val="20"/>
              </w:rPr>
              <w:t xml:space="preserve">Use scissors to cut the standard dressing used by the patient to a size slightly larger than the hydrophobic dressing and place the standard dressing atop the hydrophobic dressing. </w:t>
            </w:r>
          </w:p>
          <w:p w14:paraId="70BBAB4C" w14:textId="131FE77F" w:rsidR="006B40FB" w:rsidRPr="007179A3" w:rsidRDefault="006B40FB" w:rsidP="006A3555">
            <w:pPr>
              <w:pStyle w:val="NoSpacing"/>
              <w:numPr>
                <w:ilvl w:val="0"/>
                <w:numId w:val="47"/>
              </w:numPr>
              <w:rPr>
                <w:rFonts w:eastAsia="Arial"/>
                <w:sz w:val="20"/>
                <w:szCs w:val="20"/>
              </w:rPr>
            </w:pPr>
            <w:r>
              <w:rPr>
                <w:rFonts w:eastAsia="Arial"/>
                <w:sz w:val="20"/>
                <w:szCs w:val="20"/>
              </w:rPr>
              <w:t xml:space="preserve">Do not change </w:t>
            </w:r>
            <w:r w:rsidR="00740A28">
              <w:rPr>
                <w:rFonts w:eastAsia="Arial"/>
                <w:sz w:val="20"/>
                <w:szCs w:val="20"/>
              </w:rPr>
              <w:t xml:space="preserve">the </w:t>
            </w:r>
            <w:r>
              <w:rPr>
                <w:rFonts w:eastAsia="Arial"/>
                <w:sz w:val="20"/>
                <w:szCs w:val="20"/>
              </w:rPr>
              <w:t xml:space="preserve">wound dressing within approximately 24 hours after Vyjuvek gel application. </w:t>
            </w:r>
          </w:p>
          <w:p w14:paraId="1E855BA0" w14:textId="605291FB" w:rsidR="00292634" w:rsidRPr="00AB7392" w:rsidRDefault="00292634" w:rsidP="000E4377">
            <w:pPr>
              <w:pStyle w:val="NoSpacing"/>
              <w:rPr>
                <w:rFonts w:eastAsia="Arial"/>
                <w:sz w:val="20"/>
                <w:szCs w:val="20"/>
              </w:rPr>
            </w:pPr>
          </w:p>
        </w:tc>
      </w:tr>
      <w:tr w:rsidR="0089062E" w:rsidRPr="00D16D8D" w14:paraId="72455FD4" w14:textId="77777777" w:rsidTr="151A7E19">
        <w:trPr>
          <w:trHeight w:val="440"/>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27220DE1" w14:textId="279A2EC6" w:rsidR="0089062E" w:rsidRPr="00DD7B75" w:rsidRDefault="0089062E" w:rsidP="0089062E">
            <w:pPr>
              <w:tabs>
                <w:tab w:val="left" w:pos="2400"/>
              </w:tabs>
              <w:suppressAutoHyphens/>
              <w:spacing w:before="60" w:after="60" w:line="220" w:lineRule="exact"/>
              <w:rPr>
                <w:b/>
                <w:color w:val="FFFFFF"/>
                <w:sz w:val="20"/>
                <w:szCs w:val="20"/>
              </w:rPr>
            </w:pPr>
            <w:r>
              <w:rPr>
                <w:b/>
                <w:bCs/>
                <w:color w:val="FFFFFF"/>
                <w:sz w:val="20"/>
                <w:szCs w:val="20"/>
              </w:rPr>
              <w:lastRenderedPageBreak/>
              <w:t xml:space="preserve">Disease State </w:t>
            </w:r>
            <w:r w:rsidRPr="00DD7B75">
              <w:rPr>
                <w:b/>
                <w:bCs/>
                <w:color w:val="FFFFFF"/>
                <w:sz w:val="20"/>
                <w:szCs w:val="20"/>
              </w:rPr>
              <w:t xml:space="preserve">Clinical </w:t>
            </w:r>
            <w:r>
              <w:rPr>
                <w:b/>
                <w:bCs/>
                <w:color w:val="FFFFFF"/>
                <w:sz w:val="20"/>
                <w:szCs w:val="20"/>
              </w:rPr>
              <w:t>Highlights</w:t>
            </w:r>
            <w:r w:rsidRPr="00DD7B75">
              <w:rPr>
                <w:b/>
                <w:bCs/>
                <w:color w:val="FFFFFF"/>
                <w:sz w:val="20"/>
                <w:szCs w:val="20"/>
              </w:rPr>
              <w:t>:</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tcPr>
          <w:p w14:paraId="6AD760DD" w14:textId="39A72EF3" w:rsidR="00BE5DA1" w:rsidRPr="00154518" w:rsidRDefault="00BE477F" w:rsidP="00BE477F">
            <w:pPr>
              <w:pStyle w:val="NoSpacing"/>
              <w:numPr>
                <w:ilvl w:val="0"/>
                <w:numId w:val="47"/>
              </w:numPr>
              <w:rPr>
                <w:color w:val="000000" w:themeColor="text1"/>
                <w:sz w:val="20"/>
                <w:szCs w:val="20"/>
                <w:u w:val="single"/>
              </w:rPr>
            </w:pPr>
            <w:r>
              <w:rPr>
                <w:color w:val="000000" w:themeColor="text1"/>
                <w:sz w:val="20"/>
                <w:szCs w:val="20"/>
              </w:rPr>
              <w:t xml:space="preserve">Epidermolysis bullosa (EB) is a genetic skin disorder </w:t>
            </w:r>
            <w:r w:rsidR="00211F5E">
              <w:rPr>
                <w:color w:val="000000" w:themeColor="text1"/>
                <w:sz w:val="20"/>
                <w:szCs w:val="20"/>
              </w:rPr>
              <w:t xml:space="preserve">that causes abnormalities in the cohesion of the layers of the epidermis </w:t>
            </w:r>
            <w:r w:rsidR="00EC7AEC">
              <w:rPr>
                <w:color w:val="000000" w:themeColor="text1"/>
                <w:sz w:val="20"/>
                <w:szCs w:val="20"/>
              </w:rPr>
              <w:t>resulting in skin fragility</w:t>
            </w:r>
            <w:r w:rsidR="00211F5E">
              <w:rPr>
                <w:color w:val="000000" w:themeColor="text1"/>
                <w:sz w:val="20"/>
                <w:szCs w:val="20"/>
              </w:rPr>
              <w:t xml:space="preserve">. </w:t>
            </w:r>
            <w:r w:rsidR="00144F5A">
              <w:rPr>
                <w:color w:val="000000" w:themeColor="text1"/>
                <w:sz w:val="20"/>
                <w:szCs w:val="20"/>
              </w:rPr>
              <w:t>EB is caused by mutations involving several genes that encode for structural proteins within keratin intermediate filaments, desmosome cell junctions, and hemidesmosome attachment complexes</w:t>
            </w:r>
            <w:r w:rsidR="00951856">
              <w:rPr>
                <w:color w:val="000000" w:themeColor="text1"/>
                <w:sz w:val="20"/>
                <w:szCs w:val="20"/>
              </w:rPr>
              <w:t>.</w:t>
            </w:r>
          </w:p>
          <w:p w14:paraId="26D68EB0" w14:textId="5960D020" w:rsidR="00154518" w:rsidRPr="00D96F61" w:rsidRDefault="00D96F61" w:rsidP="00BE477F">
            <w:pPr>
              <w:pStyle w:val="NoSpacing"/>
              <w:numPr>
                <w:ilvl w:val="0"/>
                <w:numId w:val="47"/>
              </w:numPr>
              <w:rPr>
                <w:color w:val="000000" w:themeColor="text1"/>
                <w:sz w:val="20"/>
                <w:szCs w:val="20"/>
              </w:rPr>
            </w:pPr>
            <w:r>
              <w:rPr>
                <w:color w:val="000000" w:themeColor="text1"/>
                <w:sz w:val="20"/>
                <w:szCs w:val="20"/>
              </w:rPr>
              <w:t>Symptoms of EB vary widely among affected patients</w:t>
            </w:r>
            <w:r w:rsidR="00EC7AEC">
              <w:rPr>
                <w:color w:val="000000" w:themeColor="text1"/>
                <w:sz w:val="20"/>
                <w:szCs w:val="20"/>
              </w:rPr>
              <w:t>. Clinical manifestations</w:t>
            </w:r>
            <w:r>
              <w:rPr>
                <w:color w:val="000000" w:themeColor="text1"/>
                <w:sz w:val="20"/>
                <w:szCs w:val="20"/>
              </w:rPr>
              <w:t xml:space="preserve"> include blisters, erosions, nonhealing ulcerations, and scars </w:t>
            </w:r>
            <w:r w:rsidR="00EC7AEC">
              <w:rPr>
                <w:color w:val="000000" w:themeColor="text1"/>
                <w:sz w:val="20"/>
                <w:szCs w:val="20"/>
              </w:rPr>
              <w:t xml:space="preserve">in response to mild skin trauma. Patients often present with extracutaneous manifestations including hair and nail abnormalities, ocular blisters, oral blisters, gastrointestinal complications, and genitourinary complications. Severe cases of EB may result in malnutrition, anemia, infection, </w:t>
            </w:r>
            <w:r w:rsidR="00B97F6F">
              <w:rPr>
                <w:color w:val="000000" w:themeColor="text1"/>
                <w:sz w:val="20"/>
                <w:szCs w:val="20"/>
              </w:rPr>
              <w:t xml:space="preserve">skin cancer, </w:t>
            </w:r>
            <w:r w:rsidR="00EC7AEC">
              <w:rPr>
                <w:color w:val="000000" w:themeColor="text1"/>
                <w:sz w:val="20"/>
                <w:szCs w:val="20"/>
              </w:rPr>
              <w:t xml:space="preserve">and death. </w:t>
            </w:r>
          </w:p>
          <w:p w14:paraId="6B34BDF1" w14:textId="6A12E341" w:rsidR="00951856" w:rsidRPr="00643AFF" w:rsidRDefault="00951856" w:rsidP="00BE477F">
            <w:pPr>
              <w:pStyle w:val="NoSpacing"/>
              <w:numPr>
                <w:ilvl w:val="0"/>
                <w:numId w:val="47"/>
              </w:numPr>
              <w:rPr>
                <w:color w:val="000000" w:themeColor="text1"/>
                <w:sz w:val="20"/>
                <w:szCs w:val="20"/>
                <w:u w:val="single"/>
              </w:rPr>
            </w:pPr>
            <w:r>
              <w:rPr>
                <w:color w:val="000000" w:themeColor="text1"/>
                <w:sz w:val="20"/>
                <w:szCs w:val="20"/>
              </w:rPr>
              <w:t xml:space="preserve">EB is classified into four types </w:t>
            </w:r>
            <w:r w:rsidR="00643AFF">
              <w:rPr>
                <w:color w:val="000000" w:themeColor="text1"/>
                <w:sz w:val="20"/>
                <w:szCs w:val="20"/>
              </w:rPr>
              <w:t>based on skin cleavage and genetic testing:</w:t>
            </w:r>
          </w:p>
          <w:p w14:paraId="656FFB11" w14:textId="4A00B466" w:rsidR="00643AFF" w:rsidRPr="00643AFF" w:rsidRDefault="00643AFF" w:rsidP="00643AFF">
            <w:pPr>
              <w:pStyle w:val="NoSpacing"/>
              <w:numPr>
                <w:ilvl w:val="1"/>
                <w:numId w:val="47"/>
              </w:numPr>
              <w:rPr>
                <w:color w:val="000000" w:themeColor="text1"/>
                <w:sz w:val="20"/>
                <w:szCs w:val="20"/>
                <w:u w:val="single"/>
              </w:rPr>
            </w:pPr>
            <w:r w:rsidRPr="00643AFF">
              <w:rPr>
                <w:color w:val="000000" w:themeColor="text1"/>
                <w:sz w:val="20"/>
                <w:szCs w:val="20"/>
                <w:u w:val="single"/>
              </w:rPr>
              <w:t>Epidermolysis bullosa simplex (EBS)</w:t>
            </w:r>
            <w:r>
              <w:rPr>
                <w:color w:val="000000" w:themeColor="text1"/>
                <w:sz w:val="20"/>
                <w:szCs w:val="20"/>
              </w:rPr>
              <w:t>: the most common type of EB</w:t>
            </w:r>
            <w:r w:rsidR="00740A28">
              <w:rPr>
                <w:color w:val="000000" w:themeColor="text1"/>
                <w:sz w:val="20"/>
                <w:szCs w:val="20"/>
              </w:rPr>
              <w:t>,</w:t>
            </w:r>
            <w:r>
              <w:rPr>
                <w:color w:val="000000" w:themeColor="text1"/>
                <w:sz w:val="20"/>
                <w:szCs w:val="20"/>
              </w:rPr>
              <w:t xml:space="preserve"> accounting for 75 to 85% of all EB cases. Mutations in at least seven distinct genes have been associated with EBS but </w:t>
            </w:r>
            <w:proofErr w:type="gramStart"/>
            <w:r>
              <w:rPr>
                <w:color w:val="000000" w:themeColor="text1"/>
                <w:sz w:val="20"/>
                <w:szCs w:val="20"/>
              </w:rPr>
              <w:t>the vast majority of</w:t>
            </w:r>
            <w:proofErr w:type="gramEnd"/>
            <w:r>
              <w:rPr>
                <w:color w:val="000000" w:themeColor="text1"/>
                <w:sz w:val="20"/>
                <w:szCs w:val="20"/>
              </w:rPr>
              <w:t xml:space="preserve"> cases involve mutations in the keratin genes </w:t>
            </w:r>
            <w:r w:rsidRPr="00643AFF">
              <w:rPr>
                <w:i/>
                <w:iCs/>
                <w:color w:val="000000" w:themeColor="text1"/>
                <w:sz w:val="20"/>
                <w:szCs w:val="20"/>
              </w:rPr>
              <w:t>KRT5</w:t>
            </w:r>
            <w:r>
              <w:rPr>
                <w:color w:val="000000" w:themeColor="text1"/>
                <w:sz w:val="20"/>
                <w:szCs w:val="20"/>
              </w:rPr>
              <w:t xml:space="preserve"> and </w:t>
            </w:r>
            <w:r w:rsidRPr="00643AFF">
              <w:rPr>
                <w:i/>
                <w:iCs/>
                <w:color w:val="000000" w:themeColor="text1"/>
                <w:sz w:val="20"/>
                <w:szCs w:val="20"/>
              </w:rPr>
              <w:t>KRT14</w:t>
            </w:r>
            <w:r>
              <w:rPr>
                <w:color w:val="000000" w:themeColor="text1"/>
                <w:sz w:val="20"/>
                <w:szCs w:val="20"/>
              </w:rPr>
              <w:t xml:space="preserve">. Blistering usually occurs within the uppermost layer of the skin (epidermis) and may be localized to the hand and feet. </w:t>
            </w:r>
          </w:p>
          <w:p w14:paraId="1C6D9765" w14:textId="13F5026D" w:rsidR="00643AFF" w:rsidRPr="00643AFF" w:rsidRDefault="00643AFF" w:rsidP="00643AFF">
            <w:pPr>
              <w:pStyle w:val="NoSpacing"/>
              <w:numPr>
                <w:ilvl w:val="1"/>
                <w:numId w:val="47"/>
              </w:numPr>
              <w:rPr>
                <w:color w:val="000000" w:themeColor="text1"/>
                <w:sz w:val="20"/>
                <w:szCs w:val="20"/>
                <w:u w:val="single"/>
              </w:rPr>
            </w:pPr>
            <w:r w:rsidRPr="008A202E">
              <w:rPr>
                <w:color w:val="000000" w:themeColor="text1"/>
                <w:sz w:val="20"/>
                <w:szCs w:val="20"/>
                <w:u w:val="single"/>
              </w:rPr>
              <w:t>Junctional epidermolysis bullosa (JEB)</w:t>
            </w:r>
            <w:r>
              <w:rPr>
                <w:color w:val="000000" w:themeColor="text1"/>
                <w:sz w:val="20"/>
                <w:szCs w:val="20"/>
              </w:rPr>
              <w:t xml:space="preserve">: </w:t>
            </w:r>
            <w:r w:rsidR="008A202E">
              <w:rPr>
                <w:color w:val="000000" w:themeColor="text1"/>
                <w:sz w:val="20"/>
                <w:szCs w:val="20"/>
              </w:rPr>
              <w:t xml:space="preserve">caused by autosomal recessive mutations in the laminin-332 genes resulting in structural defects of the anchoring filaments located in the lamina lucida and superior lamina densa of the basal membrane zone. </w:t>
            </w:r>
            <w:r w:rsidR="00C547A7">
              <w:rPr>
                <w:color w:val="000000" w:themeColor="text1"/>
                <w:sz w:val="20"/>
                <w:szCs w:val="20"/>
              </w:rPr>
              <w:t xml:space="preserve">Risk of death among children with severe JEB is estimated to be approximately 45% by age 1 and 60% by age 15. </w:t>
            </w:r>
            <w:r w:rsidR="008A202E">
              <w:rPr>
                <w:color w:val="000000" w:themeColor="text1"/>
                <w:sz w:val="20"/>
                <w:szCs w:val="20"/>
              </w:rPr>
              <w:t xml:space="preserve"> </w:t>
            </w:r>
          </w:p>
          <w:p w14:paraId="617273EA" w14:textId="18158EEA" w:rsidR="00643AFF" w:rsidRPr="00643AFF" w:rsidRDefault="00643AFF" w:rsidP="00643AFF">
            <w:pPr>
              <w:pStyle w:val="NoSpacing"/>
              <w:numPr>
                <w:ilvl w:val="1"/>
                <w:numId w:val="47"/>
              </w:numPr>
              <w:rPr>
                <w:color w:val="000000" w:themeColor="text1"/>
                <w:sz w:val="20"/>
                <w:szCs w:val="20"/>
                <w:u w:val="single"/>
              </w:rPr>
            </w:pPr>
            <w:r w:rsidRPr="00C547A7">
              <w:rPr>
                <w:color w:val="000000" w:themeColor="text1"/>
                <w:sz w:val="20"/>
                <w:szCs w:val="20"/>
                <w:u w:val="single"/>
              </w:rPr>
              <w:t>Dystrophic epidermolysis bullosa (DEB)</w:t>
            </w:r>
            <w:r w:rsidR="00C547A7">
              <w:rPr>
                <w:color w:val="000000" w:themeColor="text1"/>
                <w:sz w:val="20"/>
                <w:szCs w:val="20"/>
              </w:rPr>
              <w:t xml:space="preserve">: categorized as either recessive DEB (RDEB) or dominant DEB (DDEB) and is characterized by blistering of the skin and mucosal membranes that heal with scarring. Both types of </w:t>
            </w:r>
            <w:proofErr w:type="gramStart"/>
            <w:r w:rsidR="00C547A7">
              <w:rPr>
                <w:color w:val="000000" w:themeColor="text1"/>
                <w:sz w:val="20"/>
                <w:szCs w:val="20"/>
              </w:rPr>
              <w:t>DEB</w:t>
            </w:r>
            <w:proofErr w:type="gramEnd"/>
            <w:r w:rsidR="00C547A7">
              <w:rPr>
                <w:color w:val="000000" w:themeColor="text1"/>
                <w:sz w:val="20"/>
                <w:szCs w:val="20"/>
              </w:rPr>
              <w:t xml:space="preserve"> are caused by mutations in the </w:t>
            </w:r>
            <w:r w:rsidR="00C547A7" w:rsidRPr="00C547A7">
              <w:rPr>
                <w:i/>
                <w:iCs/>
                <w:color w:val="000000" w:themeColor="text1"/>
                <w:sz w:val="20"/>
                <w:szCs w:val="20"/>
              </w:rPr>
              <w:t>COL7A1</w:t>
            </w:r>
            <w:r w:rsidR="00C547A7">
              <w:rPr>
                <w:color w:val="000000" w:themeColor="text1"/>
                <w:sz w:val="20"/>
                <w:szCs w:val="20"/>
              </w:rPr>
              <w:t xml:space="preserve"> gene which encodes the alpha-1 chain of type VII collagen</w:t>
            </w:r>
            <w:r w:rsidR="00F7378F">
              <w:rPr>
                <w:color w:val="000000" w:themeColor="text1"/>
                <w:sz w:val="20"/>
                <w:szCs w:val="20"/>
              </w:rPr>
              <w:t xml:space="preserve"> (COL7)</w:t>
            </w:r>
            <w:r w:rsidR="00C547A7">
              <w:rPr>
                <w:color w:val="000000" w:themeColor="text1"/>
                <w:sz w:val="20"/>
                <w:szCs w:val="20"/>
              </w:rPr>
              <w:t xml:space="preserve">. </w:t>
            </w:r>
            <w:r w:rsidR="00F7378F">
              <w:rPr>
                <w:color w:val="000000" w:themeColor="text1"/>
                <w:sz w:val="20"/>
                <w:szCs w:val="20"/>
              </w:rPr>
              <w:t xml:space="preserve">COL7 is the main constituent of the anchoring fibrils located below the lamina densa of the epidermal basement membrane zone. </w:t>
            </w:r>
            <w:r w:rsidR="00C547A7">
              <w:rPr>
                <w:color w:val="000000" w:themeColor="text1"/>
                <w:sz w:val="20"/>
                <w:szCs w:val="20"/>
              </w:rPr>
              <w:t>RDEB</w:t>
            </w:r>
            <w:r w:rsidR="00F7378F">
              <w:rPr>
                <w:color w:val="000000" w:themeColor="text1"/>
                <w:sz w:val="20"/>
                <w:szCs w:val="20"/>
              </w:rPr>
              <w:t xml:space="preserve"> is the </w:t>
            </w:r>
            <w:r w:rsidR="00154518">
              <w:rPr>
                <w:color w:val="000000" w:themeColor="text1"/>
                <w:sz w:val="20"/>
                <w:szCs w:val="20"/>
              </w:rPr>
              <w:t xml:space="preserve">more severe form of DEB due to patients having no functional anchoring fibrils. </w:t>
            </w:r>
          </w:p>
          <w:p w14:paraId="2E470EDB" w14:textId="3ABCA04D" w:rsidR="006E4D0C" w:rsidRPr="00740A28" w:rsidRDefault="00643AFF" w:rsidP="006E4D0C">
            <w:pPr>
              <w:pStyle w:val="NoSpacing"/>
              <w:numPr>
                <w:ilvl w:val="1"/>
                <w:numId w:val="47"/>
              </w:numPr>
              <w:rPr>
                <w:color w:val="000000" w:themeColor="text1"/>
                <w:sz w:val="20"/>
                <w:szCs w:val="20"/>
                <w:u w:val="single"/>
              </w:rPr>
            </w:pPr>
            <w:r w:rsidRPr="00154518">
              <w:rPr>
                <w:color w:val="000000" w:themeColor="text1"/>
                <w:sz w:val="20"/>
                <w:szCs w:val="20"/>
                <w:u w:val="single"/>
              </w:rPr>
              <w:t>Kindler epidermolysis bullosa (KEB)</w:t>
            </w:r>
            <w:r w:rsidR="00154518">
              <w:rPr>
                <w:color w:val="000000" w:themeColor="text1"/>
                <w:sz w:val="20"/>
                <w:szCs w:val="20"/>
              </w:rPr>
              <w:t xml:space="preserve">: caused by loss-of-function mutations in the </w:t>
            </w:r>
            <w:r w:rsidR="00154518" w:rsidRPr="00740A28">
              <w:rPr>
                <w:i/>
                <w:iCs/>
                <w:color w:val="000000" w:themeColor="text1"/>
                <w:sz w:val="20"/>
                <w:szCs w:val="20"/>
              </w:rPr>
              <w:t>FERMT1</w:t>
            </w:r>
            <w:r w:rsidR="00154518">
              <w:rPr>
                <w:color w:val="000000" w:themeColor="text1"/>
                <w:sz w:val="20"/>
                <w:szCs w:val="20"/>
              </w:rPr>
              <w:t xml:space="preserve"> gene which encodes the focal adhesion protein fermitin family homolog 1 (FFH1). KEB has been reported in approximately 250 individuals worldwide and is characterized by skin blistering, photosensitivity, and extensive skin atrophy. </w:t>
            </w:r>
          </w:p>
          <w:p w14:paraId="0D5698F9" w14:textId="67609775" w:rsidR="00BE477F" w:rsidRPr="006B4D4D" w:rsidRDefault="00BE477F" w:rsidP="00BE477F">
            <w:pPr>
              <w:pStyle w:val="NoSpacing"/>
              <w:numPr>
                <w:ilvl w:val="0"/>
                <w:numId w:val="47"/>
              </w:numPr>
              <w:rPr>
                <w:color w:val="000000" w:themeColor="text1"/>
                <w:sz w:val="20"/>
                <w:szCs w:val="20"/>
                <w:u w:val="single"/>
              </w:rPr>
            </w:pPr>
            <w:r>
              <w:rPr>
                <w:color w:val="000000" w:themeColor="text1"/>
                <w:sz w:val="20"/>
                <w:szCs w:val="20"/>
              </w:rPr>
              <w:t>The National Epidermolysis Bullosa Registry (NEBR) estimates the incidence of EB to be approximately 20 per million live births</w:t>
            </w:r>
            <w:r w:rsidR="006E4D0C">
              <w:rPr>
                <w:color w:val="000000" w:themeColor="text1"/>
                <w:sz w:val="20"/>
                <w:szCs w:val="20"/>
              </w:rPr>
              <w:t xml:space="preserve">. </w:t>
            </w:r>
            <w:r w:rsidR="00792574">
              <w:rPr>
                <w:color w:val="000000" w:themeColor="text1"/>
                <w:sz w:val="20"/>
                <w:szCs w:val="20"/>
              </w:rPr>
              <w:t xml:space="preserve">EB affects all genders and racial groups equally. </w:t>
            </w:r>
            <w:r w:rsidR="006E4D0C">
              <w:rPr>
                <w:color w:val="000000" w:themeColor="text1"/>
                <w:sz w:val="20"/>
                <w:szCs w:val="20"/>
              </w:rPr>
              <w:t>The RDEB incidence rate is approximately 3.1 per million live births and</w:t>
            </w:r>
            <w:r w:rsidR="00740A28">
              <w:rPr>
                <w:color w:val="000000" w:themeColor="text1"/>
                <w:sz w:val="20"/>
                <w:szCs w:val="20"/>
              </w:rPr>
              <w:t xml:space="preserve"> has a</w:t>
            </w:r>
            <w:r w:rsidR="006E4D0C">
              <w:rPr>
                <w:color w:val="000000" w:themeColor="text1"/>
                <w:sz w:val="20"/>
                <w:szCs w:val="20"/>
              </w:rPr>
              <w:t xml:space="preserve"> prevalence of 1.4 per million population. DDEB incidence rate is approximately 2.1 per million live births and </w:t>
            </w:r>
            <w:r w:rsidR="00740A28">
              <w:rPr>
                <w:color w:val="000000" w:themeColor="text1"/>
                <w:sz w:val="20"/>
                <w:szCs w:val="20"/>
              </w:rPr>
              <w:t xml:space="preserve">has a </w:t>
            </w:r>
            <w:r w:rsidR="006E4D0C">
              <w:rPr>
                <w:color w:val="000000" w:themeColor="text1"/>
                <w:sz w:val="20"/>
                <w:szCs w:val="20"/>
              </w:rPr>
              <w:t xml:space="preserve">prevalence of 1.5 per million population. </w:t>
            </w:r>
          </w:p>
          <w:p w14:paraId="427721CF" w14:textId="436C7F56" w:rsidR="006B4D4D" w:rsidRPr="006E4D0C" w:rsidRDefault="006B4D4D" w:rsidP="00BE477F">
            <w:pPr>
              <w:pStyle w:val="NoSpacing"/>
              <w:numPr>
                <w:ilvl w:val="0"/>
                <w:numId w:val="47"/>
              </w:numPr>
              <w:rPr>
                <w:color w:val="000000" w:themeColor="text1"/>
                <w:sz w:val="20"/>
                <w:szCs w:val="20"/>
                <w:u w:val="single"/>
              </w:rPr>
            </w:pPr>
            <w:r>
              <w:rPr>
                <w:color w:val="000000" w:themeColor="text1"/>
                <w:sz w:val="20"/>
                <w:szCs w:val="20"/>
              </w:rPr>
              <w:t xml:space="preserve">Squamous cell carcinoma is a frequent complication and the leading cause of death </w:t>
            </w:r>
            <w:r w:rsidR="00740A28">
              <w:rPr>
                <w:color w:val="000000" w:themeColor="text1"/>
                <w:sz w:val="20"/>
                <w:szCs w:val="20"/>
              </w:rPr>
              <w:t xml:space="preserve">for </w:t>
            </w:r>
            <w:r>
              <w:rPr>
                <w:color w:val="000000" w:themeColor="text1"/>
                <w:sz w:val="20"/>
                <w:szCs w:val="20"/>
              </w:rPr>
              <w:t xml:space="preserve">several EB subtypes, with the risk being highest in RDEB. Cancer generally develops in early adulthood at the sites of chronic wounds. In patients with severe RDEB, the risk of developing squamous cell carcinoma by age 55 is greater than 90%. </w:t>
            </w:r>
          </w:p>
          <w:p w14:paraId="607B38F8" w14:textId="0C365105" w:rsidR="006E4D0C" w:rsidRPr="000E4377" w:rsidRDefault="00F95C17" w:rsidP="00BE477F">
            <w:pPr>
              <w:pStyle w:val="NoSpacing"/>
              <w:numPr>
                <w:ilvl w:val="0"/>
                <w:numId w:val="47"/>
              </w:numPr>
              <w:rPr>
                <w:color w:val="000000" w:themeColor="text1"/>
                <w:sz w:val="20"/>
                <w:szCs w:val="20"/>
                <w:u w:val="single"/>
              </w:rPr>
            </w:pPr>
            <w:r>
              <w:rPr>
                <w:color w:val="000000" w:themeColor="text1"/>
                <w:sz w:val="20"/>
                <w:szCs w:val="20"/>
              </w:rPr>
              <w:t>When EB is suspected in a patient, a skin biopsy is sent for immunofluorescence mapping (IFM) to identify the level of skin cleavage. Genetic testing is also strongly recommended in all patient</w:t>
            </w:r>
            <w:r w:rsidR="006B4D4D">
              <w:rPr>
                <w:color w:val="000000" w:themeColor="text1"/>
                <w:sz w:val="20"/>
                <w:szCs w:val="20"/>
              </w:rPr>
              <w:t>s</w:t>
            </w:r>
            <w:r>
              <w:rPr>
                <w:color w:val="000000" w:themeColor="text1"/>
                <w:sz w:val="20"/>
                <w:szCs w:val="20"/>
              </w:rPr>
              <w:t xml:space="preserve"> to confirm the exact type of EB. </w:t>
            </w:r>
          </w:p>
        </w:tc>
      </w:tr>
      <w:tr w:rsidR="0093172F" w:rsidRPr="007B214B" w14:paraId="6E278C1D" w14:textId="77777777" w:rsidTr="003016C0">
        <w:trPr>
          <w:trHeight w:val="1412"/>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1AF02A51" w14:textId="0BC1BBAE" w:rsidR="0093172F" w:rsidRPr="00DD7B75" w:rsidRDefault="0093172F" w:rsidP="00DD7B75">
            <w:pPr>
              <w:tabs>
                <w:tab w:val="left" w:pos="2400"/>
              </w:tabs>
              <w:suppressAutoHyphens/>
              <w:spacing w:before="60" w:after="60" w:line="220" w:lineRule="exact"/>
              <w:rPr>
                <w:b/>
                <w:bCs/>
                <w:color w:val="FFFFFF"/>
                <w:sz w:val="20"/>
                <w:szCs w:val="20"/>
              </w:rPr>
            </w:pPr>
            <w:r>
              <w:rPr>
                <w:b/>
                <w:bCs/>
                <w:color w:val="FFFFFF"/>
                <w:sz w:val="20"/>
                <w:szCs w:val="20"/>
              </w:rPr>
              <w:lastRenderedPageBreak/>
              <w:t>Drug Clinical Highlights:</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shd w:val="clear" w:color="auto" w:fill="auto"/>
          </w:tcPr>
          <w:p w14:paraId="65E88415" w14:textId="13A6A54F" w:rsidR="00317495" w:rsidRDefault="00FC2F53" w:rsidP="00FC2F53">
            <w:pPr>
              <w:pStyle w:val="NoSpacing"/>
              <w:numPr>
                <w:ilvl w:val="0"/>
                <w:numId w:val="47"/>
              </w:numPr>
              <w:rPr>
                <w:rFonts w:eastAsia="Arial"/>
                <w:sz w:val="20"/>
                <w:szCs w:val="20"/>
              </w:rPr>
            </w:pPr>
            <w:r>
              <w:rPr>
                <w:rFonts w:eastAsia="Arial"/>
                <w:sz w:val="20"/>
                <w:szCs w:val="20"/>
              </w:rPr>
              <w:t xml:space="preserve">Vyjuvek </w:t>
            </w:r>
            <w:r w:rsidR="00C37013">
              <w:rPr>
                <w:rFonts w:eastAsia="Arial"/>
                <w:sz w:val="20"/>
                <w:szCs w:val="20"/>
              </w:rPr>
              <w:t>is a herpes-simplex virus type 1 (HSV-1) vector-based gene therapy and is the first</w:t>
            </w:r>
            <w:r w:rsidR="00740A28">
              <w:rPr>
                <w:rFonts w:eastAsia="Arial"/>
                <w:sz w:val="20"/>
                <w:szCs w:val="20"/>
              </w:rPr>
              <w:t xml:space="preserve">-in-class topical </w:t>
            </w:r>
            <w:r w:rsidR="00C37013">
              <w:rPr>
                <w:rFonts w:eastAsia="Arial"/>
                <w:sz w:val="20"/>
                <w:szCs w:val="20"/>
              </w:rPr>
              <w:t xml:space="preserve">gene therapy </w:t>
            </w:r>
            <w:r w:rsidR="00740A28">
              <w:rPr>
                <w:rFonts w:eastAsia="Arial"/>
                <w:sz w:val="20"/>
                <w:szCs w:val="20"/>
              </w:rPr>
              <w:t xml:space="preserve">treatment </w:t>
            </w:r>
            <w:r w:rsidR="00C37013">
              <w:rPr>
                <w:rFonts w:eastAsia="Arial"/>
                <w:sz w:val="20"/>
                <w:szCs w:val="20"/>
              </w:rPr>
              <w:t xml:space="preserve">approved for DEB. </w:t>
            </w:r>
          </w:p>
          <w:p w14:paraId="05E7AF51" w14:textId="77777777" w:rsidR="00FC2F53" w:rsidRDefault="00FC2F53" w:rsidP="00FC2F53">
            <w:pPr>
              <w:pStyle w:val="NoSpacing"/>
              <w:numPr>
                <w:ilvl w:val="0"/>
                <w:numId w:val="47"/>
              </w:numPr>
              <w:rPr>
                <w:rFonts w:eastAsia="Arial"/>
                <w:sz w:val="20"/>
                <w:szCs w:val="20"/>
              </w:rPr>
            </w:pPr>
            <w:r>
              <w:rPr>
                <w:rFonts w:eastAsia="Arial"/>
                <w:sz w:val="20"/>
                <w:szCs w:val="20"/>
              </w:rPr>
              <w:t>The FDA granted Vyjuvek Orphan Drug, Fast Track</w:t>
            </w:r>
            <w:r w:rsidR="008A292F">
              <w:rPr>
                <w:rFonts w:eastAsia="Arial"/>
                <w:sz w:val="20"/>
                <w:szCs w:val="20"/>
              </w:rPr>
              <w:t xml:space="preserve">, Regenerative Medicine Advanced Therapy, Priority Review, and Rare Pediatric Disease Priority Review designations. </w:t>
            </w:r>
          </w:p>
          <w:p w14:paraId="64FD3E9A" w14:textId="77777777" w:rsidR="008A292F" w:rsidRDefault="008A292F" w:rsidP="008A292F">
            <w:pPr>
              <w:pStyle w:val="NoSpacing"/>
              <w:rPr>
                <w:rFonts w:eastAsia="Arial"/>
                <w:sz w:val="20"/>
                <w:szCs w:val="20"/>
              </w:rPr>
            </w:pPr>
          </w:p>
          <w:p w14:paraId="347CF645" w14:textId="77777777" w:rsidR="008A292F" w:rsidRDefault="008A292F" w:rsidP="008A292F">
            <w:pPr>
              <w:pStyle w:val="NoSpacing"/>
              <w:rPr>
                <w:rFonts w:eastAsia="Arial"/>
                <w:sz w:val="20"/>
                <w:szCs w:val="20"/>
              </w:rPr>
            </w:pPr>
            <w:r w:rsidRPr="00251921">
              <w:rPr>
                <w:rFonts w:eastAsia="Arial"/>
                <w:sz w:val="20"/>
                <w:szCs w:val="20"/>
                <w:u w:val="single"/>
              </w:rPr>
              <w:t>Warnings/Precautions</w:t>
            </w:r>
            <w:r>
              <w:rPr>
                <w:rFonts w:eastAsia="Arial"/>
                <w:sz w:val="20"/>
                <w:szCs w:val="20"/>
              </w:rPr>
              <w:t>:</w:t>
            </w:r>
          </w:p>
          <w:p w14:paraId="613E5C94" w14:textId="33A6EDDA" w:rsidR="008A292F" w:rsidRDefault="00C37013" w:rsidP="008A292F">
            <w:pPr>
              <w:pStyle w:val="NoSpacing"/>
              <w:numPr>
                <w:ilvl w:val="0"/>
                <w:numId w:val="47"/>
              </w:numPr>
              <w:rPr>
                <w:rFonts w:eastAsia="Arial"/>
                <w:sz w:val="20"/>
                <w:szCs w:val="20"/>
              </w:rPr>
            </w:pPr>
            <w:r>
              <w:rPr>
                <w:rFonts w:eastAsia="Arial"/>
                <w:sz w:val="20"/>
                <w:szCs w:val="20"/>
              </w:rPr>
              <w:t>Accidental exposure to Vyjuvek</w:t>
            </w:r>
          </w:p>
          <w:p w14:paraId="5A2DB323" w14:textId="249C3B00" w:rsidR="00C37013" w:rsidRDefault="00C37013" w:rsidP="00C37013">
            <w:pPr>
              <w:pStyle w:val="NoSpacing"/>
              <w:numPr>
                <w:ilvl w:val="1"/>
                <w:numId w:val="47"/>
              </w:numPr>
              <w:rPr>
                <w:rFonts w:eastAsia="Arial"/>
                <w:sz w:val="20"/>
                <w:szCs w:val="20"/>
              </w:rPr>
            </w:pPr>
            <w:r>
              <w:rPr>
                <w:rFonts w:eastAsia="Arial"/>
                <w:sz w:val="20"/>
                <w:szCs w:val="20"/>
              </w:rPr>
              <w:t>Avoid direct contact with treated wounds and dressing</w:t>
            </w:r>
            <w:r w:rsidR="00740A28">
              <w:rPr>
                <w:rFonts w:eastAsia="Arial"/>
                <w:sz w:val="20"/>
                <w:szCs w:val="20"/>
              </w:rPr>
              <w:t>s</w:t>
            </w:r>
            <w:r>
              <w:rPr>
                <w:rFonts w:eastAsia="Arial"/>
                <w:sz w:val="20"/>
                <w:szCs w:val="20"/>
              </w:rPr>
              <w:t xml:space="preserve"> of treated wounds for approximately 24 hours following </w:t>
            </w:r>
            <w:r w:rsidR="00740A28">
              <w:rPr>
                <w:rFonts w:eastAsia="Arial"/>
                <w:sz w:val="20"/>
                <w:szCs w:val="20"/>
              </w:rPr>
              <w:t xml:space="preserve">gel application. </w:t>
            </w:r>
            <w:r>
              <w:rPr>
                <w:rFonts w:eastAsia="Arial"/>
                <w:sz w:val="20"/>
                <w:szCs w:val="20"/>
              </w:rPr>
              <w:t xml:space="preserve"> </w:t>
            </w:r>
          </w:p>
          <w:p w14:paraId="487B3FC8" w14:textId="45647160" w:rsidR="00C37013" w:rsidRDefault="00C37013" w:rsidP="00C37013">
            <w:pPr>
              <w:pStyle w:val="NoSpacing"/>
              <w:numPr>
                <w:ilvl w:val="1"/>
                <w:numId w:val="47"/>
              </w:numPr>
              <w:rPr>
                <w:rFonts w:eastAsia="Arial"/>
                <w:sz w:val="20"/>
                <w:szCs w:val="20"/>
              </w:rPr>
            </w:pPr>
            <w:r>
              <w:rPr>
                <w:rFonts w:eastAsia="Arial"/>
                <w:sz w:val="20"/>
                <w:szCs w:val="20"/>
              </w:rPr>
              <w:t>W</w:t>
            </w:r>
            <w:r w:rsidR="00740A28">
              <w:rPr>
                <w:rFonts w:eastAsia="Arial"/>
                <w:sz w:val="20"/>
                <w:szCs w:val="20"/>
              </w:rPr>
              <w:t>ash hands and w</w:t>
            </w:r>
            <w:r>
              <w:rPr>
                <w:rFonts w:eastAsia="Arial"/>
                <w:sz w:val="20"/>
                <w:szCs w:val="20"/>
              </w:rPr>
              <w:t xml:space="preserve">ear protective gloves when assisting subjects with changing </w:t>
            </w:r>
            <w:r w:rsidR="00740A28">
              <w:rPr>
                <w:rFonts w:eastAsia="Arial"/>
                <w:sz w:val="20"/>
                <w:szCs w:val="20"/>
              </w:rPr>
              <w:t xml:space="preserve">the </w:t>
            </w:r>
            <w:r>
              <w:rPr>
                <w:rFonts w:eastAsia="Arial"/>
                <w:sz w:val="20"/>
                <w:szCs w:val="20"/>
              </w:rPr>
              <w:t xml:space="preserve">wound dressing and handling the disposal. </w:t>
            </w:r>
          </w:p>
          <w:p w14:paraId="24A22443" w14:textId="64B4C34D" w:rsidR="00C37013" w:rsidRDefault="00C37013" w:rsidP="00C37013">
            <w:pPr>
              <w:pStyle w:val="NoSpacing"/>
              <w:numPr>
                <w:ilvl w:val="1"/>
                <w:numId w:val="47"/>
              </w:numPr>
              <w:rPr>
                <w:rFonts w:eastAsia="Arial"/>
                <w:sz w:val="20"/>
                <w:szCs w:val="20"/>
              </w:rPr>
            </w:pPr>
            <w:r>
              <w:rPr>
                <w:rFonts w:eastAsia="Arial"/>
                <w:sz w:val="20"/>
                <w:szCs w:val="20"/>
              </w:rPr>
              <w:t xml:space="preserve">In the event of an accidental exposure, flush with clean water for at least 15 minutes. </w:t>
            </w:r>
          </w:p>
          <w:p w14:paraId="677B21A3" w14:textId="77777777" w:rsidR="00C37013" w:rsidRDefault="00C37013" w:rsidP="00C37013">
            <w:pPr>
              <w:pStyle w:val="NoSpacing"/>
              <w:rPr>
                <w:rFonts w:eastAsia="Arial"/>
                <w:sz w:val="20"/>
                <w:szCs w:val="20"/>
              </w:rPr>
            </w:pPr>
          </w:p>
          <w:p w14:paraId="47868F3D" w14:textId="70A949E0" w:rsidR="00C37013" w:rsidRDefault="00C37013" w:rsidP="00C37013">
            <w:pPr>
              <w:pStyle w:val="NoSpacing"/>
              <w:rPr>
                <w:rFonts w:eastAsia="Arial"/>
                <w:sz w:val="20"/>
                <w:szCs w:val="20"/>
              </w:rPr>
            </w:pPr>
            <w:r w:rsidRPr="00251921">
              <w:rPr>
                <w:rFonts w:eastAsia="Arial"/>
                <w:sz w:val="20"/>
                <w:szCs w:val="20"/>
                <w:u w:val="single"/>
              </w:rPr>
              <w:t>Contraindications</w:t>
            </w:r>
            <w:r>
              <w:rPr>
                <w:rFonts w:eastAsia="Arial"/>
                <w:sz w:val="20"/>
                <w:szCs w:val="20"/>
              </w:rPr>
              <w:t xml:space="preserve">: </w:t>
            </w:r>
            <w:r w:rsidR="00740A28">
              <w:rPr>
                <w:rFonts w:eastAsia="Arial"/>
                <w:sz w:val="20"/>
                <w:szCs w:val="20"/>
              </w:rPr>
              <w:t>N</w:t>
            </w:r>
            <w:r>
              <w:rPr>
                <w:rFonts w:eastAsia="Arial"/>
                <w:sz w:val="20"/>
                <w:szCs w:val="20"/>
              </w:rPr>
              <w:t>one</w:t>
            </w:r>
          </w:p>
          <w:p w14:paraId="45E71174" w14:textId="77777777" w:rsidR="00C37013" w:rsidRDefault="00C37013" w:rsidP="00C37013">
            <w:pPr>
              <w:pStyle w:val="NoSpacing"/>
              <w:rPr>
                <w:rFonts w:eastAsia="Arial"/>
                <w:sz w:val="20"/>
                <w:szCs w:val="20"/>
              </w:rPr>
            </w:pPr>
          </w:p>
          <w:p w14:paraId="1911CC11" w14:textId="6A3E6180" w:rsidR="00C37013" w:rsidRPr="00251921" w:rsidRDefault="00C37013" w:rsidP="00C37013">
            <w:pPr>
              <w:pStyle w:val="NoSpacing"/>
              <w:rPr>
                <w:rFonts w:eastAsia="Arial"/>
                <w:sz w:val="20"/>
                <w:szCs w:val="20"/>
                <w:u w:val="single"/>
              </w:rPr>
            </w:pPr>
            <w:r w:rsidRPr="00251921">
              <w:rPr>
                <w:rFonts w:eastAsia="Arial"/>
                <w:sz w:val="20"/>
                <w:szCs w:val="20"/>
                <w:u w:val="single"/>
              </w:rPr>
              <w:t>Pregnancy/Lactation</w:t>
            </w:r>
          </w:p>
          <w:p w14:paraId="12BCBBA7" w14:textId="15DF6FC5" w:rsidR="00C37013" w:rsidRDefault="00C37013" w:rsidP="00C37013">
            <w:pPr>
              <w:pStyle w:val="NoSpacing"/>
              <w:numPr>
                <w:ilvl w:val="0"/>
                <w:numId w:val="47"/>
              </w:numPr>
              <w:rPr>
                <w:rFonts w:eastAsia="Arial"/>
                <w:sz w:val="20"/>
                <w:szCs w:val="20"/>
              </w:rPr>
            </w:pPr>
            <w:r>
              <w:rPr>
                <w:rFonts w:eastAsia="Arial"/>
                <w:sz w:val="20"/>
                <w:szCs w:val="20"/>
              </w:rPr>
              <w:t xml:space="preserve">There are no data with Vyjuvek gel use in pregnant or lactating women to inform a drug-associated risk. </w:t>
            </w:r>
            <w:r w:rsidR="00ED4272">
              <w:rPr>
                <w:rFonts w:eastAsia="Arial"/>
                <w:sz w:val="20"/>
                <w:szCs w:val="20"/>
              </w:rPr>
              <w:t xml:space="preserve">If the patient becomes pregnant while being administered Vyjuvek gel, the patient should be apprised of the potential hazards to the fetus and neonate. Women of childbearing potential should be advised to use an effective method of contraception to prevent pregnancy during treatment with Vyjuvek gel. </w:t>
            </w:r>
          </w:p>
          <w:p w14:paraId="2F05E1A3" w14:textId="77777777" w:rsidR="00ED4272" w:rsidRDefault="00ED4272" w:rsidP="00ED4272">
            <w:pPr>
              <w:pStyle w:val="NoSpacing"/>
              <w:rPr>
                <w:rFonts w:eastAsia="Arial"/>
                <w:sz w:val="20"/>
                <w:szCs w:val="20"/>
              </w:rPr>
            </w:pPr>
          </w:p>
          <w:p w14:paraId="1F82B9EB" w14:textId="6E015D45" w:rsidR="00ED4272" w:rsidRPr="00251921" w:rsidRDefault="00ED4272" w:rsidP="00ED4272">
            <w:pPr>
              <w:pStyle w:val="NoSpacing"/>
              <w:rPr>
                <w:rFonts w:eastAsia="Arial"/>
                <w:sz w:val="20"/>
                <w:szCs w:val="20"/>
                <w:u w:val="single"/>
              </w:rPr>
            </w:pPr>
            <w:r w:rsidRPr="00251921">
              <w:rPr>
                <w:rFonts w:eastAsia="Arial"/>
                <w:sz w:val="20"/>
                <w:szCs w:val="20"/>
                <w:u w:val="single"/>
              </w:rPr>
              <w:t>Clinical Studies</w:t>
            </w:r>
          </w:p>
          <w:p w14:paraId="2AA1A68F" w14:textId="4DA6105A" w:rsidR="00ED4272" w:rsidRDefault="00ED4272" w:rsidP="00ED4272">
            <w:pPr>
              <w:pStyle w:val="NoSpacing"/>
              <w:numPr>
                <w:ilvl w:val="0"/>
                <w:numId w:val="47"/>
              </w:numPr>
              <w:rPr>
                <w:rFonts w:eastAsia="Arial"/>
                <w:sz w:val="20"/>
                <w:szCs w:val="20"/>
              </w:rPr>
            </w:pPr>
            <w:r>
              <w:rPr>
                <w:rFonts w:eastAsia="Arial"/>
                <w:sz w:val="20"/>
                <w:szCs w:val="20"/>
              </w:rPr>
              <w:t xml:space="preserve">GEM-3 (n=31) (NCT04491604): randomized, double-blind, intra-subject placebo-controlled trial. </w:t>
            </w:r>
            <w:r w:rsidR="00525F86">
              <w:rPr>
                <w:rFonts w:eastAsia="Arial"/>
                <w:sz w:val="20"/>
                <w:szCs w:val="20"/>
              </w:rPr>
              <w:t xml:space="preserve">All study subjects had clinical manifestations consistent with DEB and genetically confirmed mutation(s) in the </w:t>
            </w:r>
            <w:r w:rsidR="00525F86" w:rsidRPr="00525F86">
              <w:rPr>
                <w:rFonts w:eastAsia="Arial"/>
                <w:i/>
                <w:iCs/>
                <w:sz w:val="20"/>
                <w:szCs w:val="20"/>
              </w:rPr>
              <w:t>COL7A1</w:t>
            </w:r>
            <w:r w:rsidR="00525F86">
              <w:rPr>
                <w:rFonts w:eastAsia="Arial"/>
                <w:sz w:val="20"/>
                <w:szCs w:val="20"/>
              </w:rPr>
              <w:t xml:space="preserve"> gene. Two comparable wounds in each subject were selected and randomized to receive either topical application of Vyjuvek gel or placebo weekly for 26 weeks. </w:t>
            </w:r>
          </w:p>
          <w:p w14:paraId="0371AD38" w14:textId="47517AE8" w:rsidR="00525F86" w:rsidRDefault="00525F86" w:rsidP="00525F86">
            <w:pPr>
              <w:pStyle w:val="NoSpacing"/>
              <w:numPr>
                <w:ilvl w:val="1"/>
                <w:numId w:val="47"/>
              </w:numPr>
              <w:rPr>
                <w:rFonts w:eastAsia="Arial"/>
                <w:sz w:val="20"/>
                <w:szCs w:val="20"/>
              </w:rPr>
            </w:pPr>
            <w:r>
              <w:rPr>
                <w:rFonts w:eastAsia="Arial"/>
                <w:sz w:val="20"/>
                <w:szCs w:val="20"/>
              </w:rPr>
              <w:t>Key Inclusion Criteria</w:t>
            </w:r>
          </w:p>
          <w:p w14:paraId="522F1673" w14:textId="7D75728F" w:rsidR="00525F86" w:rsidRDefault="00525F86" w:rsidP="00525F86">
            <w:pPr>
              <w:pStyle w:val="NoSpacing"/>
              <w:numPr>
                <w:ilvl w:val="2"/>
                <w:numId w:val="47"/>
              </w:numPr>
              <w:rPr>
                <w:rFonts w:eastAsia="Arial"/>
                <w:sz w:val="20"/>
                <w:szCs w:val="20"/>
              </w:rPr>
            </w:pPr>
            <w:r>
              <w:rPr>
                <w:rFonts w:eastAsia="Arial"/>
                <w:sz w:val="20"/>
                <w:szCs w:val="20"/>
              </w:rPr>
              <w:t xml:space="preserve">Age </w:t>
            </w:r>
            <w:r>
              <w:rPr>
                <w:rFonts w:eastAsia="Arial"/>
                <w:sz w:val="20"/>
                <w:szCs w:val="20"/>
              </w:rPr>
              <w:sym w:font="Symbol" w:char="F0B3"/>
            </w:r>
            <w:r>
              <w:rPr>
                <w:rFonts w:eastAsia="Arial"/>
                <w:sz w:val="20"/>
                <w:szCs w:val="20"/>
              </w:rPr>
              <w:t xml:space="preserve"> 6 months at the time of informed consent</w:t>
            </w:r>
          </w:p>
          <w:p w14:paraId="71F9F348" w14:textId="798D983F" w:rsidR="00525F86" w:rsidRDefault="00525F86" w:rsidP="00525F86">
            <w:pPr>
              <w:pStyle w:val="NoSpacing"/>
              <w:numPr>
                <w:ilvl w:val="2"/>
                <w:numId w:val="47"/>
              </w:numPr>
              <w:rPr>
                <w:rFonts w:eastAsia="Arial"/>
                <w:sz w:val="20"/>
                <w:szCs w:val="20"/>
              </w:rPr>
            </w:pPr>
            <w:r>
              <w:rPr>
                <w:rFonts w:eastAsia="Arial"/>
                <w:sz w:val="20"/>
                <w:szCs w:val="20"/>
              </w:rPr>
              <w:t xml:space="preserve">Clinical diagnosis of DEB (either DDEB or RDEB) confirmed by genetic testing including </w:t>
            </w:r>
            <w:r w:rsidRPr="00740A28">
              <w:rPr>
                <w:rFonts w:eastAsia="Arial"/>
                <w:i/>
                <w:iCs/>
                <w:sz w:val="20"/>
                <w:szCs w:val="20"/>
              </w:rPr>
              <w:t>COL7A1</w:t>
            </w:r>
            <w:r>
              <w:rPr>
                <w:rFonts w:eastAsia="Arial"/>
                <w:sz w:val="20"/>
                <w:szCs w:val="20"/>
              </w:rPr>
              <w:t>.</w:t>
            </w:r>
          </w:p>
          <w:p w14:paraId="29A0BAD3" w14:textId="6CC360FE" w:rsidR="00525F86" w:rsidRDefault="00525F86" w:rsidP="00525F86">
            <w:pPr>
              <w:pStyle w:val="NoSpacing"/>
              <w:numPr>
                <w:ilvl w:val="2"/>
                <w:numId w:val="47"/>
              </w:numPr>
              <w:rPr>
                <w:rFonts w:eastAsia="Arial"/>
                <w:sz w:val="20"/>
                <w:szCs w:val="20"/>
              </w:rPr>
            </w:pPr>
            <w:r>
              <w:rPr>
                <w:rFonts w:eastAsia="Arial"/>
                <w:sz w:val="20"/>
                <w:szCs w:val="20"/>
              </w:rPr>
              <w:t>Two cutaneous wounds meeting the following criteria:</w:t>
            </w:r>
          </w:p>
          <w:p w14:paraId="52558108" w14:textId="62B62BAB" w:rsidR="00525F86" w:rsidRDefault="00525F86" w:rsidP="00525F86">
            <w:pPr>
              <w:pStyle w:val="NoSpacing"/>
              <w:numPr>
                <w:ilvl w:val="3"/>
                <w:numId w:val="47"/>
              </w:numPr>
              <w:rPr>
                <w:rFonts w:eastAsia="Arial"/>
                <w:sz w:val="20"/>
                <w:szCs w:val="20"/>
              </w:rPr>
            </w:pPr>
            <w:r>
              <w:rPr>
                <w:rFonts w:eastAsia="Arial"/>
                <w:sz w:val="20"/>
                <w:szCs w:val="20"/>
              </w:rPr>
              <w:t>Location: similar in size, located in similar anatomical regions, and have similar appearances.</w:t>
            </w:r>
          </w:p>
          <w:p w14:paraId="43483822" w14:textId="2E11249B" w:rsidR="00525F86" w:rsidRDefault="00525F86" w:rsidP="00525F86">
            <w:pPr>
              <w:pStyle w:val="NoSpacing"/>
              <w:numPr>
                <w:ilvl w:val="3"/>
                <w:numId w:val="47"/>
              </w:numPr>
              <w:rPr>
                <w:rFonts w:eastAsia="Arial"/>
                <w:sz w:val="20"/>
                <w:szCs w:val="20"/>
              </w:rPr>
            </w:pPr>
            <w:r>
              <w:rPr>
                <w:rFonts w:eastAsia="Arial"/>
                <w:sz w:val="20"/>
                <w:szCs w:val="20"/>
              </w:rPr>
              <w:t xml:space="preserve">Appearance: clean with adequate granulation tissue, excellent vascularization, and do not appear infected. </w:t>
            </w:r>
          </w:p>
          <w:p w14:paraId="43C59192" w14:textId="466EACAB" w:rsidR="00525F86" w:rsidRPr="00525F86" w:rsidRDefault="00525F86" w:rsidP="00525F86">
            <w:pPr>
              <w:pStyle w:val="NoSpacing"/>
              <w:numPr>
                <w:ilvl w:val="2"/>
                <w:numId w:val="47"/>
              </w:numPr>
              <w:rPr>
                <w:rFonts w:eastAsia="Arial"/>
                <w:sz w:val="20"/>
                <w:szCs w:val="20"/>
              </w:rPr>
            </w:pPr>
            <w:r>
              <w:rPr>
                <w:rFonts w:eastAsia="Arial"/>
                <w:sz w:val="20"/>
                <w:szCs w:val="20"/>
              </w:rPr>
              <w:t xml:space="preserve">Negative pregnancy test at Visit 1 (Week 1), if applicable. </w:t>
            </w:r>
          </w:p>
          <w:p w14:paraId="3752D8A7" w14:textId="56114A54" w:rsidR="00525F86" w:rsidRDefault="00525F86" w:rsidP="00525F86">
            <w:pPr>
              <w:pStyle w:val="NoSpacing"/>
              <w:numPr>
                <w:ilvl w:val="1"/>
                <w:numId w:val="47"/>
              </w:numPr>
              <w:rPr>
                <w:rFonts w:eastAsia="Arial"/>
                <w:sz w:val="20"/>
                <w:szCs w:val="20"/>
              </w:rPr>
            </w:pPr>
            <w:r>
              <w:rPr>
                <w:rFonts w:eastAsia="Arial"/>
                <w:sz w:val="20"/>
                <w:szCs w:val="20"/>
              </w:rPr>
              <w:t>Key Exclusion Criteria</w:t>
            </w:r>
          </w:p>
          <w:p w14:paraId="0250A392" w14:textId="1DB8C02D" w:rsidR="00525F86" w:rsidRDefault="00525F86" w:rsidP="00525F86">
            <w:pPr>
              <w:pStyle w:val="NoSpacing"/>
              <w:numPr>
                <w:ilvl w:val="2"/>
                <w:numId w:val="47"/>
              </w:numPr>
              <w:rPr>
                <w:rFonts w:eastAsia="Arial"/>
                <w:sz w:val="20"/>
                <w:szCs w:val="20"/>
              </w:rPr>
            </w:pPr>
            <w:r>
              <w:rPr>
                <w:rFonts w:eastAsia="Arial"/>
                <w:sz w:val="20"/>
                <w:szCs w:val="20"/>
              </w:rPr>
              <w:t>Current evidence or a history of squamous cell carcinoma in the are</w:t>
            </w:r>
            <w:r w:rsidR="00740A28">
              <w:rPr>
                <w:rFonts w:eastAsia="Arial"/>
                <w:sz w:val="20"/>
                <w:szCs w:val="20"/>
              </w:rPr>
              <w:t>a</w:t>
            </w:r>
            <w:r>
              <w:rPr>
                <w:rFonts w:eastAsia="Arial"/>
                <w:sz w:val="20"/>
                <w:szCs w:val="20"/>
              </w:rPr>
              <w:t xml:space="preserve"> that will undergo treatment.</w:t>
            </w:r>
          </w:p>
          <w:p w14:paraId="05CCF609" w14:textId="1128373B" w:rsidR="00525F86" w:rsidRDefault="00525F86" w:rsidP="00525F86">
            <w:pPr>
              <w:pStyle w:val="NoSpacing"/>
              <w:numPr>
                <w:ilvl w:val="2"/>
                <w:numId w:val="47"/>
              </w:numPr>
              <w:rPr>
                <w:rFonts w:eastAsia="Arial"/>
                <w:sz w:val="20"/>
                <w:szCs w:val="20"/>
              </w:rPr>
            </w:pPr>
            <w:r>
              <w:rPr>
                <w:rFonts w:eastAsia="Arial"/>
                <w:sz w:val="20"/>
                <w:szCs w:val="20"/>
              </w:rPr>
              <w:t xml:space="preserve">Subjects actively receiving chemotherapy or immunotherapy at Visit 1 (Week 1). </w:t>
            </w:r>
          </w:p>
          <w:p w14:paraId="598A0C56" w14:textId="2C622733" w:rsidR="00525F86" w:rsidRDefault="00525F86" w:rsidP="00525F86">
            <w:pPr>
              <w:pStyle w:val="NoSpacing"/>
              <w:numPr>
                <w:ilvl w:val="2"/>
                <w:numId w:val="47"/>
              </w:numPr>
              <w:rPr>
                <w:rFonts w:eastAsia="Arial"/>
                <w:sz w:val="20"/>
                <w:szCs w:val="20"/>
              </w:rPr>
            </w:pPr>
            <w:r>
              <w:rPr>
                <w:rFonts w:eastAsia="Arial"/>
                <w:sz w:val="20"/>
                <w:szCs w:val="20"/>
              </w:rPr>
              <w:t xml:space="preserve">Active drug or alcohol addiction. </w:t>
            </w:r>
          </w:p>
          <w:p w14:paraId="6142592D" w14:textId="2DD80019" w:rsidR="00525F86" w:rsidRDefault="00525F86" w:rsidP="00525F86">
            <w:pPr>
              <w:pStyle w:val="NoSpacing"/>
              <w:numPr>
                <w:ilvl w:val="2"/>
                <w:numId w:val="47"/>
              </w:numPr>
              <w:rPr>
                <w:rFonts w:eastAsia="Arial"/>
                <w:sz w:val="20"/>
                <w:szCs w:val="20"/>
              </w:rPr>
            </w:pPr>
            <w:r>
              <w:rPr>
                <w:rFonts w:eastAsia="Arial"/>
                <w:sz w:val="20"/>
                <w:szCs w:val="20"/>
              </w:rPr>
              <w:t xml:space="preserve">Hypersensitivity to local anesthesia. </w:t>
            </w:r>
          </w:p>
          <w:p w14:paraId="5CDE0D39" w14:textId="03578526" w:rsidR="00525F86" w:rsidRDefault="00525F86" w:rsidP="00525F86">
            <w:pPr>
              <w:pStyle w:val="NoSpacing"/>
              <w:numPr>
                <w:ilvl w:val="2"/>
                <w:numId w:val="47"/>
              </w:numPr>
              <w:rPr>
                <w:rFonts w:eastAsia="Arial"/>
                <w:sz w:val="20"/>
                <w:szCs w:val="20"/>
              </w:rPr>
            </w:pPr>
            <w:r>
              <w:rPr>
                <w:rFonts w:eastAsia="Arial"/>
                <w:sz w:val="20"/>
                <w:szCs w:val="20"/>
              </w:rPr>
              <w:t>Receipt of a skin graft in the past three months</w:t>
            </w:r>
          </w:p>
          <w:p w14:paraId="2253C959" w14:textId="517F4CCC" w:rsidR="00525F86" w:rsidRDefault="00525F86" w:rsidP="00525F86">
            <w:pPr>
              <w:pStyle w:val="NoSpacing"/>
              <w:numPr>
                <w:ilvl w:val="2"/>
                <w:numId w:val="47"/>
              </w:numPr>
              <w:rPr>
                <w:rFonts w:eastAsia="Arial"/>
                <w:sz w:val="20"/>
                <w:szCs w:val="20"/>
              </w:rPr>
            </w:pPr>
            <w:r>
              <w:rPr>
                <w:rFonts w:eastAsia="Arial"/>
                <w:sz w:val="20"/>
                <w:szCs w:val="20"/>
              </w:rPr>
              <w:t xml:space="preserve">Pregnant or nursing women. </w:t>
            </w:r>
          </w:p>
          <w:p w14:paraId="4A075DE2" w14:textId="6D1606D8" w:rsidR="00525F86" w:rsidRDefault="00525F86" w:rsidP="00525F86">
            <w:pPr>
              <w:pStyle w:val="NoSpacing"/>
              <w:numPr>
                <w:ilvl w:val="1"/>
                <w:numId w:val="47"/>
              </w:numPr>
              <w:rPr>
                <w:rFonts w:eastAsia="Arial"/>
                <w:sz w:val="20"/>
                <w:szCs w:val="20"/>
              </w:rPr>
            </w:pPr>
            <w:r>
              <w:rPr>
                <w:rFonts w:eastAsia="Arial"/>
                <w:sz w:val="20"/>
                <w:szCs w:val="20"/>
              </w:rPr>
              <w:t>Key Baseline Characteristics</w:t>
            </w:r>
          </w:p>
          <w:p w14:paraId="43AAA779" w14:textId="0FBB81EE" w:rsidR="00C20041" w:rsidRDefault="00C20041" w:rsidP="00C20041">
            <w:pPr>
              <w:pStyle w:val="NoSpacing"/>
              <w:numPr>
                <w:ilvl w:val="2"/>
                <w:numId w:val="47"/>
              </w:numPr>
              <w:rPr>
                <w:rFonts w:eastAsia="Arial"/>
                <w:sz w:val="20"/>
                <w:szCs w:val="20"/>
              </w:rPr>
            </w:pPr>
            <w:r>
              <w:rPr>
                <w:rFonts w:eastAsia="Arial"/>
                <w:sz w:val="20"/>
                <w:szCs w:val="20"/>
              </w:rPr>
              <w:t>Study enrolled 31 subjects (20 males and 11 females)</w:t>
            </w:r>
          </w:p>
          <w:p w14:paraId="2F6DAD3A" w14:textId="0B5C91E7" w:rsidR="00C20041" w:rsidRDefault="00C20041" w:rsidP="00C20041">
            <w:pPr>
              <w:pStyle w:val="NoSpacing"/>
              <w:numPr>
                <w:ilvl w:val="2"/>
                <w:numId w:val="47"/>
              </w:numPr>
              <w:rPr>
                <w:rFonts w:eastAsia="Arial"/>
                <w:sz w:val="20"/>
                <w:szCs w:val="20"/>
              </w:rPr>
            </w:pPr>
            <w:r>
              <w:rPr>
                <w:rFonts w:eastAsia="Arial"/>
                <w:sz w:val="20"/>
                <w:szCs w:val="20"/>
              </w:rPr>
              <w:t>30 subject</w:t>
            </w:r>
            <w:r w:rsidR="008E1D10">
              <w:rPr>
                <w:rFonts w:eastAsia="Arial"/>
                <w:sz w:val="20"/>
                <w:szCs w:val="20"/>
              </w:rPr>
              <w:t>s</w:t>
            </w:r>
            <w:r>
              <w:rPr>
                <w:rFonts w:eastAsia="Arial"/>
                <w:sz w:val="20"/>
                <w:szCs w:val="20"/>
              </w:rPr>
              <w:t xml:space="preserve"> had </w:t>
            </w:r>
            <w:proofErr w:type="gramStart"/>
            <w:r w:rsidR="00740A28">
              <w:rPr>
                <w:rFonts w:eastAsia="Arial"/>
                <w:sz w:val="20"/>
                <w:szCs w:val="20"/>
              </w:rPr>
              <w:t>R</w:t>
            </w:r>
            <w:r>
              <w:rPr>
                <w:rFonts w:eastAsia="Arial"/>
                <w:sz w:val="20"/>
                <w:szCs w:val="20"/>
              </w:rPr>
              <w:t>DEB</w:t>
            </w:r>
            <w:proofErr w:type="gramEnd"/>
            <w:r>
              <w:rPr>
                <w:rFonts w:eastAsia="Arial"/>
                <w:sz w:val="20"/>
                <w:szCs w:val="20"/>
              </w:rPr>
              <w:t xml:space="preserve"> and one subject had </w:t>
            </w:r>
            <w:r w:rsidR="00740A28">
              <w:rPr>
                <w:rFonts w:eastAsia="Arial"/>
                <w:sz w:val="20"/>
                <w:szCs w:val="20"/>
              </w:rPr>
              <w:t>D</w:t>
            </w:r>
            <w:r>
              <w:rPr>
                <w:rFonts w:eastAsia="Arial"/>
                <w:sz w:val="20"/>
                <w:szCs w:val="20"/>
              </w:rPr>
              <w:t xml:space="preserve">DEB. </w:t>
            </w:r>
          </w:p>
          <w:p w14:paraId="19266F9E" w14:textId="0C147232" w:rsidR="00C20041" w:rsidRDefault="00C20041" w:rsidP="00C20041">
            <w:pPr>
              <w:pStyle w:val="NoSpacing"/>
              <w:numPr>
                <w:ilvl w:val="2"/>
                <w:numId w:val="47"/>
              </w:numPr>
              <w:rPr>
                <w:rFonts w:eastAsia="Arial"/>
                <w:sz w:val="20"/>
                <w:szCs w:val="20"/>
              </w:rPr>
            </w:pPr>
            <w:r>
              <w:rPr>
                <w:rFonts w:eastAsia="Arial"/>
                <w:sz w:val="20"/>
                <w:szCs w:val="20"/>
              </w:rPr>
              <w:t>Size of Vyjuvek-treated wounds ranged from 2 to 57 cm</w:t>
            </w:r>
            <w:r w:rsidRPr="00C20041">
              <w:rPr>
                <w:rFonts w:eastAsia="Arial"/>
                <w:sz w:val="20"/>
                <w:szCs w:val="20"/>
                <w:vertAlign w:val="superscript"/>
              </w:rPr>
              <w:t>2</w:t>
            </w:r>
            <w:r>
              <w:rPr>
                <w:rFonts w:eastAsia="Arial"/>
                <w:sz w:val="20"/>
                <w:szCs w:val="20"/>
              </w:rPr>
              <w:t>, with 74% of wounds &lt; 20 cm</w:t>
            </w:r>
            <w:r w:rsidRPr="00C20041">
              <w:rPr>
                <w:rFonts w:eastAsia="Arial"/>
                <w:sz w:val="20"/>
                <w:szCs w:val="20"/>
                <w:vertAlign w:val="superscript"/>
              </w:rPr>
              <w:t>2</w:t>
            </w:r>
            <w:r>
              <w:rPr>
                <w:rFonts w:eastAsia="Arial"/>
                <w:sz w:val="20"/>
                <w:szCs w:val="20"/>
              </w:rPr>
              <w:t xml:space="preserve"> and 19% from 20 to &lt; 40 cm</w:t>
            </w:r>
            <w:r w:rsidRPr="00C20041">
              <w:rPr>
                <w:rFonts w:eastAsia="Arial"/>
                <w:sz w:val="20"/>
                <w:szCs w:val="20"/>
                <w:vertAlign w:val="superscript"/>
              </w:rPr>
              <w:t>2</w:t>
            </w:r>
            <w:r>
              <w:rPr>
                <w:rFonts w:eastAsia="Arial"/>
                <w:sz w:val="20"/>
                <w:szCs w:val="20"/>
              </w:rPr>
              <w:t>. The size of placebo-treated wounds ranged from 2 to 52 cm</w:t>
            </w:r>
            <w:r w:rsidRPr="00C20041">
              <w:rPr>
                <w:rFonts w:eastAsia="Arial"/>
                <w:sz w:val="20"/>
                <w:szCs w:val="20"/>
                <w:vertAlign w:val="superscript"/>
              </w:rPr>
              <w:t>2</w:t>
            </w:r>
            <w:r>
              <w:rPr>
                <w:rFonts w:eastAsia="Arial"/>
                <w:sz w:val="20"/>
                <w:szCs w:val="20"/>
              </w:rPr>
              <w:t>, with 71% of wounds &lt; 20 cm</w:t>
            </w:r>
            <w:r w:rsidRPr="00C20041">
              <w:rPr>
                <w:rFonts w:eastAsia="Arial"/>
                <w:sz w:val="20"/>
                <w:szCs w:val="20"/>
                <w:vertAlign w:val="superscript"/>
              </w:rPr>
              <w:t>2</w:t>
            </w:r>
            <w:r>
              <w:rPr>
                <w:rFonts w:eastAsia="Arial"/>
                <w:sz w:val="20"/>
                <w:szCs w:val="20"/>
              </w:rPr>
              <w:t xml:space="preserve"> and 26% from 20 to &lt; 40 cm</w:t>
            </w:r>
            <w:r w:rsidRPr="00C20041">
              <w:rPr>
                <w:rFonts w:eastAsia="Arial"/>
                <w:sz w:val="20"/>
                <w:szCs w:val="20"/>
                <w:vertAlign w:val="superscript"/>
              </w:rPr>
              <w:t>2</w:t>
            </w:r>
            <w:r>
              <w:rPr>
                <w:rFonts w:eastAsia="Arial"/>
                <w:sz w:val="20"/>
                <w:szCs w:val="20"/>
              </w:rPr>
              <w:t xml:space="preserve">. </w:t>
            </w:r>
          </w:p>
          <w:p w14:paraId="131852D5" w14:textId="7955F4A6" w:rsidR="00C20041" w:rsidRDefault="00C20041" w:rsidP="00C20041">
            <w:pPr>
              <w:pStyle w:val="NoSpacing"/>
              <w:numPr>
                <w:ilvl w:val="2"/>
                <w:numId w:val="47"/>
              </w:numPr>
              <w:rPr>
                <w:rFonts w:eastAsia="Arial"/>
                <w:sz w:val="20"/>
                <w:szCs w:val="20"/>
              </w:rPr>
            </w:pPr>
            <w:r>
              <w:rPr>
                <w:rFonts w:eastAsia="Arial"/>
                <w:sz w:val="20"/>
                <w:szCs w:val="20"/>
              </w:rPr>
              <w:t>The average age of subject was 17 years (1 year to 44 years). 61% of subject</w:t>
            </w:r>
            <w:r w:rsidR="00740A28">
              <w:rPr>
                <w:rFonts w:eastAsia="Arial"/>
                <w:sz w:val="20"/>
                <w:szCs w:val="20"/>
              </w:rPr>
              <w:t>s</w:t>
            </w:r>
            <w:r>
              <w:rPr>
                <w:rFonts w:eastAsia="Arial"/>
                <w:sz w:val="20"/>
                <w:szCs w:val="20"/>
              </w:rPr>
              <w:t xml:space="preserve"> were pediatric (1 to &lt;17 years). </w:t>
            </w:r>
          </w:p>
          <w:p w14:paraId="2451F98C" w14:textId="5DC31563" w:rsidR="00C20041" w:rsidRDefault="00C20041" w:rsidP="00C20041">
            <w:pPr>
              <w:pStyle w:val="NoSpacing"/>
              <w:numPr>
                <w:ilvl w:val="2"/>
                <w:numId w:val="47"/>
              </w:numPr>
              <w:rPr>
                <w:rFonts w:eastAsia="Arial"/>
                <w:sz w:val="20"/>
                <w:szCs w:val="20"/>
              </w:rPr>
            </w:pPr>
            <w:r>
              <w:rPr>
                <w:rFonts w:eastAsia="Arial"/>
                <w:sz w:val="20"/>
                <w:szCs w:val="20"/>
              </w:rPr>
              <w:lastRenderedPageBreak/>
              <w:t>64% of patients were White, 19% were Asian, and the remainder were American Indian or Alaska</w:t>
            </w:r>
            <w:r w:rsidR="00740A28">
              <w:rPr>
                <w:rFonts w:eastAsia="Arial"/>
                <w:sz w:val="20"/>
                <w:szCs w:val="20"/>
              </w:rPr>
              <w:t>n</w:t>
            </w:r>
            <w:r>
              <w:rPr>
                <w:rFonts w:eastAsia="Arial"/>
                <w:sz w:val="20"/>
                <w:szCs w:val="20"/>
              </w:rPr>
              <w:t xml:space="preserve"> Native</w:t>
            </w:r>
            <w:r w:rsidR="00740A28">
              <w:rPr>
                <w:rFonts w:eastAsia="Arial"/>
                <w:sz w:val="20"/>
                <w:szCs w:val="20"/>
              </w:rPr>
              <w:t>s</w:t>
            </w:r>
            <w:r>
              <w:rPr>
                <w:rFonts w:eastAsia="Arial"/>
                <w:sz w:val="20"/>
                <w:szCs w:val="20"/>
              </w:rPr>
              <w:t xml:space="preserve">. </w:t>
            </w:r>
          </w:p>
          <w:p w14:paraId="178288ED" w14:textId="27487710" w:rsidR="00525F86" w:rsidRDefault="00525F86" w:rsidP="00525F86">
            <w:pPr>
              <w:pStyle w:val="NoSpacing"/>
              <w:numPr>
                <w:ilvl w:val="1"/>
                <w:numId w:val="47"/>
              </w:numPr>
              <w:rPr>
                <w:rFonts w:eastAsia="Arial"/>
                <w:sz w:val="20"/>
                <w:szCs w:val="20"/>
              </w:rPr>
            </w:pPr>
            <w:r>
              <w:rPr>
                <w:rFonts w:eastAsia="Arial"/>
                <w:sz w:val="20"/>
                <w:szCs w:val="20"/>
              </w:rPr>
              <w:t xml:space="preserve">Primary Outcome Measure: </w:t>
            </w:r>
            <w:r w:rsidR="00C20041">
              <w:rPr>
                <w:rFonts w:eastAsia="Arial"/>
                <w:sz w:val="20"/>
                <w:szCs w:val="20"/>
              </w:rPr>
              <w:t xml:space="preserve">efficacy was established </w:t>
            </w:r>
            <w:proofErr w:type="gramStart"/>
            <w:r w:rsidR="00C20041">
              <w:rPr>
                <w:rFonts w:eastAsia="Arial"/>
                <w:sz w:val="20"/>
                <w:szCs w:val="20"/>
              </w:rPr>
              <w:t>on the basis of</w:t>
            </w:r>
            <w:proofErr w:type="gramEnd"/>
            <w:r w:rsidR="00C20041">
              <w:rPr>
                <w:rFonts w:eastAsia="Arial"/>
                <w:sz w:val="20"/>
                <w:szCs w:val="20"/>
              </w:rPr>
              <w:t xml:space="preserve"> improved wound healing defined as the difference in the proportion of complete (100%) wound closure at 24 Weeks confirmed at two </w:t>
            </w:r>
            <w:r w:rsidR="00AE7313">
              <w:rPr>
                <w:rFonts w:eastAsia="Arial"/>
                <w:sz w:val="20"/>
                <w:szCs w:val="20"/>
              </w:rPr>
              <w:t>consecutive</w:t>
            </w:r>
            <w:r w:rsidR="00C20041">
              <w:rPr>
                <w:rFonts w:eastAsia="Arial"/>
                <w:sz w:val="20"/>
                <w:szCs w:val="20"/>
              </w:rPr>
              <w:t xml:space="preserve"> study visits 2 weeks apart, assessed at Weeks 22 and 24 or at Weeks 24 and 26, between the Vyjuvek-treated and the placebo-treated wounds. Efficacy was supported by the difference in the proportion of complete wound closure assessed at Weeks 8 and 10 or at Weeks 10 and 12 between the Vyjuvek-treated and the placebo-treated wounds. Complete (100%) wound closure was defined as durable wound closure evaluated at two consecutive visits two weeks apart. </w:t>
            </w:r>
          </w:p>
          <w:tbl>
            <w:tblPr>
              <w:tblStyle w:val="TableGrid"/>
              <w:tblW w:w="8140" w:type="dxa"/>
              <w:tblLayout w:type="fixed"/>
              <w:tblLook w:val="04A0" w:firstRow="1" w:lastRow="0" w:firstColumn="1" w:lastColumn="0" w:noHBand="0" w:noVBand="1"/>
            </w:tblPr>
            <w:tblGrid>
              <w:gridCol w:w="1660"/>
              <w:gridCol w:w="2070"/>
              <w:gridCol w:w="2250"/>
              <w:gridCol w:w="1260"/>
              <w:gridCol w:w="900"/>
            </w:tblGrid>
            <w:tr w:rsidR="00251921" w14:paraId="6992BBA3" w14:textId="736119E1" w:rsidTr="00251921">
              <w:tc>
                <w:tcPr>
                  <w:tcW w:w="1660" w:type="dxa"/>
                  <w:shd w:val="clear" w:color="auto" w:fill="FABF8F" w:themeFill="accent6" w:themeFillTint="99"/>
                  <w:vAlign w:val="center"/>
                </w:tcPr>
                <w:p w14:paraId="3CA742D6" w14:textId="182FD98F" w:rsidR="00251921" w:rsidRPr="00251921" w:rsidRDefault="00251921" w:rsidP="00251921">
                  <w:pPr>
                    <w:pStyle w:val="NoSpacing"/>
                    <w:jc w:val="center"/>
                    <w:rPr>
                      <w:rFonts w:eastAsia="Arial"/>
                      <w:b/>
                      <w:bCs/>
                      <w:sz w:val="20"/>
                      <w:szCs w:val="20"/>
                    </w:rPr>
                  </w:pPr>
                  <w:r w:rsidRPr="00251921">
                    <w:rPr>
                      <w:rFonts w:eastAsia="Arial"/>
                      <w:b/>
                      <w:bCs/>
                      <w:sz w:val="20"/>
                      <w:szCs w:val="20"/>
                    </w:rPr>
                    <w:t>Wound Closure Assessment Timepoints</w:t>
                  </w:r>
                </w:p>
              </w:tc>
              <w:tc>
                <w:tcPr>
                  <w:tcW w:w="2070" w:type="dxa"/>
                  <w:shd w:val="clear" w:color="auto" w:fill="FABF8F" w:themeFill="accent6" w:themeFillTint="99"/>
                  <w:vAlign w:val="center"/>
                </w:tcPr>
                <w:p w14:paraId="4FDCAA09" w14:textId="2018614A" w:rsidR="00251921" w:rsidRPr="00251921" w:rsidRDefault="00251921" w:rsidP="00251921">
                  <w:pPr>
                    <w:pStyle w:val="NoSpacing"/>
                    <w:jc w:val="center"/>
                    <w:rPr>
                      <w:rFonts w:eastAsia="Arial"/>
                      <w:b/>
                      <w:bCs/>
                      <w:sz w:val="20"/>
                      <w:szCs w:val="20"/>
                    </w:rPr>
                  </w:pPr>
                  <w:r w:rsidRPr="00251921">
                    <w:rPr>
                      <w:rFonts w:eastAsia="Arial"/>
                      <w:b/>
                      <w:bCs/>
                      <w:sz w:val="20"/>
                      <w:szCs w:val="20"/>
                    </w:rPr>
                    <w:t>Complete Wound Closure, n</w:t>
                  </w:r>
                  <w:r>
                    <w:rPr>
                      <w:rFonts w:eastAsia="Arial"/>
                      <w:b/>
                      <w:bCs/>
                      <w:sz w:val="20"/>
                      <w:szCs w:val="20"/>
                    </w:rPr>
                    <w:t xml:space="preserve"> </w:t>
                  </w:r>
                  <w:r w:rsidRPr="00251921">
                    <w:rPr>
                      <w:rFonts w:eastAsia="Arial"/>
                      <w:b/>
                      <w:bCs/>
                      <w:sz w:val="20"/>
                      <w:szCs w:val="20"/>
                    </w:rPr>
                    <w:t>(%)</w:t>
                  </w:r>
                </w:p>
                <w:p w14:paraId="0700C4A0" w14:textId="77777777" w:rsidR="00251921" w:rsidRPr="00251921" w:rsidRDefault="00251921" w:rsidP="00251921">
                  <w:pPr>
                    <w:pStyle w:val="NoSpacing"/>
                    <w:jc w:val="center"/>
                    <w:rPr>
                      <w:rFonts w:eastAsia="Arial"/>
                      <w:b/>
                      <w:bCs/>
                      <w:sz w:val="20"/>
                      <w:szCs w:val="20"/>
                    </w:rPr>
                  </w:pPr>
                  <w:r w:rsidRPr="00251921">
                    <w:rPr>
                      <w:rFonts w:eastAsia="Arial"/>
                      <w:b/>
                      <w:bCs/>
                      <w:sz w:val="20"/>
                      <w:szCs w:val="20"/>
                    </w:rPr>
                    <w:t>Vyjuvek gel</w:t>
                  </w:r>
                </w:p>
                <w:p w14:paraId="77BBD864" w14:textId="3E11B775" w:rsidR="00251921" w:rsidRPr="00251921" w:rsidRDefault="00251921" w:rsidP="00251921">
                  <w:pPr>
                    <w:pStyle w:val="NoSpacing"/>
                    <w:jc w:val="center"/>
                    <w:rPr>
                      <w:rFonts w:eastAsia="Arial"/>
                      <w:b/>
                      <w:bCs/>
                      <w:sz w:val="20"/>
                      <w:szCs w:val="20"/>
                    </w:rPr>
                  </w:pPr>
                  <w:r w:rsidRPr="00251921">
                    <w:rPr>
                      <w:rFonts w:eastAsia="Arial"/>
                      <w:b/>
                      <w:bCs/>
                      <w:sz w:val="20"/>
                      <w:szCs w:val="20"/>
                    </w:rPr>
                    <w:t>(N=31)</w:t>
                  </w:r>
                </w:p>
              </w:tc>
              <w:tc>
                <w:tcPr>
                  <w:tcW w:w="2250" w:type="dxa"/>
                  <w:shd w:val="clear" w:color="auto" w:fill="FABF8F" w:themeFill="accent6" w:themeFillTint="99"/>
                  <w:vAlign w:val="center"/>
                </w:tcPr>
                <w:p w14:paraId="24FFC30C" w14:textId="77777777" w:rsidR="00251921" w:rsidRPr="00251921" w:rsidRDefault="00251921" w:rsidP="00251921">
                  <w:pPr>
                    <w:pStyle w:val="NoSpacing"/>
                    <w:jc w:val="center"/>
                    <w:rPr>
                      <w:rFonts w:eastAsia="Arial"/>
                      <w:b/>
                      <w:bCs/>
                      <w:sz w:val="20"/>
                      <w:szCs w:val="20"/>
                    </w:rPr>
                  </w:pPr>
                  <w:r w:rsidRPr="00251921">
                    <w:rPr>
                      <w:rFonts w:eastAsia="Arial"/>
                      <w:b/>
                      <w:bCs/>
                      <w:sz w:val="20"/>
                      <w:szCs w:val="20"/>
                    </w:rPr>
                    <w:t>Complete Wound Closure, n (%)</w:t>
                  </w:r>
                </w:p>
                <w:p w14:paraId="2F4D0659" w14:textId="77777777" w:rsidR="00251921" w:rsidRPr="00251921" w:rsidRDefault="00251921" w:rsidP="00251921">
                  <w:pPr>
                    <w:pStyle w:val="NoSpacing"/>
                    <w:jc w:val="center"/>
                    <w:rPr>
                      <w:rFonts w:eastAsia="Arial"/>
                      <w:b/>
                      <w:bCs/>
                      <w:sz w:val="20"/>
                      <w:szCs w:val="20"/>
                    </w:rPr>
                  </w:pPr>
                  <w:r w:rsidRPr="00251921">
                    <w:rPr>
                      <w:rFonts w:eastAsia="Arial"/>
                      <w:b/>
                      <w:bCs/>
                      <w:sz w:val="20"/>
                      <w:szCs w:val="20"/>
                    </w:rPr>
                    <w:t>Placebo gel</w:t>
                  </w:r>
                </w:p>
                <w:p w14:paraId="7C696D8F" w14:textId="1B4DFF8F" w:rsidR="00251921" w:rsidRPr="00251921" w:rsidRDefault="00251921" w:rsidP="00251921">
                  <w:pPr>
                    <w:pStyle w:val="NoSpacing"/>
                    <w:jc w:val="center"/>
                    <w:rPr>
                      <w:rFonts w:eastAsia="Arial"/>
                      <w:b/>
                      <w:bCs/>
                      <w:sz w:val="20"/>
                      <w:szCs w:val="20"/>
                    </w:rPr>
                  </w:pPr>
                  <w:r w:rsidRPr="00251921">
                    <w:rPr>
                      <w:rFonts w:eastAsia="Arial"/>
                      <w:b/>
                      <w:bCs/>
                      <w:sz w:val="20"/>
                      <w:szCs w:val="20"/>
                    </w:rPr>
                    <w:t>(N=31)</w:t>
                  </w:r>
                </w:p>
              </w:tc>
              <w:tc>
                <w:tcPr>
                  <w:tcW w:w="1260" w:type="dxa"/>
                  <w:shd w:val="clear" w:color="auto" w:fill="FABF8F" w:themeFill="accent6" w:themeFillTint="99"/>
                  <w:vAlign w:val="center"/>
                </w:tcPr>
                <w:p w14:paraId="2628BDC1" w14:textId="77777777" w:rsidR="00251921" w:rsidRPr="00251921" w:rsidRDefault="00251921" w:rsidP="00251921">
                  <w:pPr>
                    <w:pStyle w:val="NoSpacing"/>
                    <w:jc w:val="center"/>
                    <w:rPr>
                      <w:rFonts w:eastAsia="Arial"/>
                      <w:b/>
                      <w:bCs/>
                      <w:sz w:val="20"/>
                      <w:szCs w:val="20"/>
                    </w:rPr>
                  </w:pPr>
                  <w:r w:rsidRPr="00251921">
                    <w:rPr>
                      <w:rFonts w:eastAsia="Arial"/>
                      <w:b/>
                      <w:bCs/>
                      <w:sz w:val="20"/>
                      <w:szCs w:val="20"/>
                    </w:rPr>
                    <w:t>Treatment Difference</w:t>
                  </w:r>
                </w:p>
                <w:p w14:paraId="739D0341" w14:textId="1D077CA6" w:rsidR="00251921" w:rsidRPr="00251921" w:rsidRDefault="00251921" w:rsidP="00251921">
                  <w:pPr>
                    <w:pStyle w:val="NoSpacing"/>
                    <w:jc w:val="center"/>
                    <w:rPr>
                      <w:rFonts w:eastAsia="Arial"/>
                      <w:b/>
                      <w:bCs/>
                      <w:sz w:val="20"/>
                      <w:szCs w:val="20"/>
                    </w:rPr>
                  </w:pPr>
                  <w:r w:rsidRPr="00251921">
                    <w:rPr>
                      <w:rFonts w:eastAsia="Arial"/>
                      <w:b/>
                      <w:bCs/>
                      <w:sz w:val="20"/>
                      <w:szCs w:val="20"/>
                    </w:rPr>
                    <w:t>(95% CI)</w:t>
                  </w:r>
                </w:p>
              </w:tc>
              <w:tc>
                <w:tcPr>
                  <w:tcW w:w="900" w:type="dxa"/>
                  <w:shd w:val="clear" w:color="auto" w:fill="FABF8F" w:themeFill="accent6" w:themeFillTint="99"/>
                  <w:vAlign w:val="center"/>
                </w:tcPr>
                <w:p w14:paraId="6F2AC1EC" w14:textId="1AD79BC6" w:rsidR="00251921" w:rsidRPr="00251921" w:rsidRDefault="00251921" w:rsidP="00251921">
                  <w:pPr>
                    <w:pStyle w:val="NoSpacing"/>
                    <w:jc w:val="center"/>
                    <w:rPr>
                      <w:rFonts w:eastAsia="Arial"/>
                      <w:b/>
                      <w:bCs/>
                      <w:sz w:val="20"/>
                      <w:szCs w:val="20"/>
                    </w:rPr>
                  </w:pPr>
                  <w:r w:rsidRPr="00251921">
                    <w:rPr>
                      <w:rFonts w:eastAsia="Arial"/>
                      <w:b/>
                      <w:bCs/>
                      <w:sz w:val="20"/>
                      <w:szCs w:val="20"/>
                    </w:rPr>
                    <w:t>p value</w:t>
                  </w:r>
                </w:p>
              </w:tc>
            </w:tr>
            <w:tr w:rsidR="00251921" w14:paraId="260B7D4D" w14:textId="43F3565F" w:rsidTr="00251921">
              <w:tc>
                <w:tcPr>
                  <w:tcW w:w="1660" w:type="dxa"/>
                  <w:vAlign w:val="center"/>
                </w:tcPr>
                <w:p w14:paraId="3D355320" w14:textId="5974CF0B" w:rsidR="00251921" w:rsidRDefault="00251921" w:rsidP="00251921">
                  <w:pPr>
                    <w:pStyle w:val="NoSpacing"/>
                    <w:jc w:val="center"/>
                    <w:rPr>
                      <w:rFonts w:eastAsia="Arial"/>
                      <w:sz w:val="20"/>
                      <w:szCs w:val="20"/>
                    </w:rPr>
                  </w:pPr>
                  <w:r>
                    <w:rPr>
                      <w:rFonts w:eastAsia="Arial"/>
                      <w:sz w:val="20"/>
                      <w:szCs w:val="20"/>
                    </w:rPr>
                    <w:t>Weeks 22 &amp; 24 or Weeks 24 &amp; 26</w:t>
                  </w:r>
                </w:p>
              </w:tc>
              <w:tc>
                <w:tcPr>
                  <w:tcW w:w="2070" w:type="dxa"/>
                  <w:vAlign w:val="center"/>
                </w:tcPr>
                <w:p w14:paraId="41C2D694" w14:textId="19242911" w:rsidR="00251921" w:rsidRDefault="00251921" w:rsidP="00251921">
                  <w:pPr>
                    <w:pStyle w:val="NoSpacing"/>
                    <w:jc w:val="center"/>
                    <w:rPr>
                      <w:rFonts w:eastAsia="Arial"/>
                      <w:sz w:val="20"/>
                      <w:szCs w:val="20"/>
                    </w:rPr>
                  </w:pPr>
                  <w:r>
                    <w:rPr>
                      <w:rFonts w:eastAsia="Arial"/>
                      <w:sz w:val="20"/>
                      <w:szCs w:val="20"/>
                    </w:rPr>
                    <w:t>20 (65)</w:t>
                  </w:r>
                </w:p>
              </w:tc>
              <w:tc>
                <w:tcPr>
                  <w:tcW w:w="2250" w:type="dxa"/>
                  <w:vAlign w:val="center"/>
                </w:tcPr>
                <w:p w14:paraId="6AAED171" w14:textId="22740707" w:rsidR="00251921" w:rsidRDefault="00251921" w:rsidP="00251921">
                  <w:pPr>
                    <w:pStyle w:val="NoSpacing"/>
                    <w:jc w:val="center"/>
                    <w:rPr>
                      <w:rFonts w:eastAsia="Arial"/>
                      <w:sz w:val="20"/>
                      <w:szCs w:val="20"/>
                    </w:rPr>
                  </w:pPr>
                  <w:r>
                    <w:rPr>
                      <w:rFonts w:eastAsia="Arial"/>
                      <w:sz w:val="20"/>
                      <w:szCs w:val="20"/>
                    </w:rPr>
                    <w:t>8 (26)</w:t>
                  </w:r>
                </w:p>
              </w:tc>
              <w:tc>
                <w:tcPr>
                  <w:tcW w:w="1260" w:type="dxa"/>
                  <w:vAlign w:val="center"/>
                </w:tcPr>
                <w:p w14:paraId="5C50358E" w14:textId="77777777" w:rsidR="00251921" w:rsidRDefault="00251921" w:rsidP="00251921">
                  <w:pPr>
                    <w:pStyle w:val="NoSpacing"/>
                    <w:jc w:val="center"/>
                    <w:rPr>
                      <w:rFonts w:eastAsia="Arial"/>
                      <w:sz w:val="20"/>
                      <w:szCs w:val="20"/>
                    </w:rPr>
                  </w:pPr>
                  <w:r>
                    <w:rPr>
                      <w:rFonts w:eastAsia="Arial"/>
                      <w:sz w:val="20"/>
                      <w:szCs w:val="20"/>
                    </w:rPr>
                    <w:t>39%</w:t>
                  </w:r>
                </w:p>
                <w:p w14:paraId="4FA5C88C" w14:textId="23E09FA8" w:rsidR="00251921" w:rsidRDefault="00251921" w:rsidP="00251921">
                  <w:pPr>
                    <w:pStyle w:val="NoSpacing"/>
                    <w:jc w:val="center"/>
                    <w:rPr>
                      <w:rFonts w:eastAsia="Arial"/>
                      <w:sz w:val="20"/>
                      <w:szCs w:val="20"/>
                    </w:rPr>
                  </w:pPr>
                  <w:r>
                    <w:rPr>
                      <w:rFonts w:eastAsia="Arial"/>
                      <w:sz w:val="20"/>
                      <w:szCs w:val="20"/>
                    </w:rPr>
                    <w:t>(14, 63)</w:t>
                  </w:r>
                </w:p>
              </w:tc>
              <w:tc>
                <w:tcPr>
                  <w:tcW w:w="900" w:type="dxa"/>
                  <w:vAlign w:val="center"/>
                </w:tcPr>
                <w:p w14:paraId="6945551A" w14:textId="5590F62D" w:rsidR="00251921" w:rsidRDefault="00251921" w:rsidP="00251921">
                  <w:pPr>
                    <w:pStyle w:val="NoSpacing"/>
                    <w:jc w:val="center"/>
                    <w:rPr>
                      <w:rFonts w:eastAsia="Arial"/>
                      <w:sz w:val="20"/>
                      <w:szCs w:val="20"/>
                    </w:rPr>
                  </w:pPr>
                  <w:r>
                    <w:rPr>
                      <w:rFonts w:eastAsia="Arial"/>
                      <w:sz w:val="20"/>
                      <w:szCs w:val="20"/>
                    </w:rPr>
                    <w:t>0.012</w:t>
                  </w:r>
                </w:p>
              </w:tc>
            </w:tr>
            <w:tr w:rsidR="00251921" w14:paraId="7D6DF1F8" w14:textId="2C084FD2" w:rsidTr="00251921">
              <w:tc>
                <w:tcPr>
                  <w:tcW w:w="1660" w:type="dxa"/>
                  <w:vAlign w:val="center"/>
                </w:tcPr>
                <w:p w14:paraId="21D2AFAB" w14:textId="18481A9F" w:rsidR="00251921" w:rsidRDefault="00251921" w:rsidP="00251921">
                  <w:pPr>
                    <w:pStyle w:val="NoSpacing"/>
                    <w:jc w:val="center"/>
                    <w:rPr>
                      <w:rFonts w:eastAsia="Arial"/>
                      <w:sz w:val="20"/>
                      <w:szCs w:val="20"/>
                    </w:rPr>
                  </w:pPr>
                  <w:r>
                    <w:rPr>
                      <w:rFonts w:eastAsia="Arial"/>
                      <w:sz w:val="20"/>
                      <w:szCs w:val="20"/>
                    </w:rPr>
                    <w:t>Weeks 8 &amp;10 or Weeks 10 &amp; 12</w:t>
                  </w:r>
                </w:p>
              </w:tc>
              <w:tc>
                <w:tcPr>
                  <w:tcW w:w="2070" w:type="dxa"/>
                  <w:vAlign w:val="center"/>
                </w:tcPr>
                <w:p w14:paraId="2AA9EB8B" w14:textId="2823231A" w:rsidR="00251921" w:rsidRDefault="00251921" w:rsidP="00251921">
                  <w:pPr>
                    <w:pStyle w:val="NoSpacing"/>
                    <w:jc w:val="center"/>
                    <w:rPr>
                      <w:rFonts w:eastAsia="Arial"/>
                      <w:sz w:val="20"/>
                      <w:szCs w:val="20"/>
                    </w:rPr>
                  </w:pPr>
                  <w:r>
                    <w:rPr>
                      <w:rFonts w:eastAsia="Arial"/>
                      <w:sz w:val="20"/>
                      <w:szCs w:val="20"/>
                    </w:rPr>
                    <w:t>21 (68)</w:t>
                  </w:r>
                </w:p>
              </w:tc>
              <w:tc>
                <w:tcPr>
                  <w:tcW w:w="2250" w:type="dxa"/>
                  <w:vAlign w:val="center"/>
                </w:tcPr>
                <w:p w14:paraId="53BE04B8" w14:textId="074612A5" w:rsidR="00251921" w:rsidRDefault="00251921" w:rsidP="00251921">
                  <w:pPr>
                    <w:pStyle w:val="NoSpacing"/>
                    <w:jc w:val="center"/>
                    <w:rPr>
                      <w:rFonts w:eastAsia="Arial"/>
                      <w:sz w:val="20"/>
                      <w:szCs w:val="20"/>
                    </w:rPr>
                  </w:pPr>
                  <w:r>
                    <w:rPr>
                      <w:rFonts w:eastAsia="Arial"/>
                      <w:sz w:val="20"/>
                      <w:szCs w:val="20"/>
                    </w:rPr>
                    <w:t>7 (23)</w:t>
                  </w:r>
                </w:p>
              </w:tc>
              <w:tc>
                <w:tcPr>
                  <w:tcW w:w="1260" w:type="dxa"/>
                  <w:vAlign w:val="center"/>
                </w:tcPr>
                <w:p w14:paraId="4C205950" w14:textId="77777777" w:rsidR="00251921" w:rsidRDefault="00251921" w:rsidP="00251921">
                  <w:pPr>
                    <w:pStyle w:val="NoSpacing"/>
                    <w:jc w:val="center"/>
                    <w:rPr>
                      <w:rFonts w:eastAsia="Arial"/>
                      <w:sz w:val="20"/>
                      <w:szCs w:val="20"/>
                    </w:rPr>
                  </w:pPr>
                  <w:r>
                    <w:rPr>
                      <w:rFonts w:eastAsia="Arial"/>
                      <w:sz w:val="20"/>
                      <w:szCs w:val="20"/>
                    </w:rPr>
                    <w:t>45%</w:t>
                  </w:r>
                </w:p>
                <w:p w14:paraId="3BC7DCC9" w14:textId="5BABBB8C" w:rsidR="00251921" w:rsidRDefault="00251921" w:rsidP="00251921">
                  <w:pPr>
                    <w:pStyle w:val="NoSpacing"/>
                    <w:jc w:val="center"/>
                    <w:rPr>
                      <w:rFonts w:eastAsia="Arial"/>
                      <w:sz w:val="20"/>
                      <w:szCs w:val="20"/>
                    </w:rPr>
                  </w:pPr>
                  <w:r>
                    <w:rPr>
                      <w:rFonts w:eastAsia="Arial"/>
                      <w:sz w:val="20"/>
                      <w:szCs w:val="20"/>
                    </w:rPr>
                    <w:t>(22, 69)</w:t>
                  </w:r>
                </w:p>
              </w:tc>
              <w:tc>
                <w:tcPr>
                  <w:tcW w:w="900" w:type="dxa"/>
                  <w:vAlign w:val="center"/>
                </w:tcPr>
                <w:p w14:paraId="55EAFA1D" w14:textId="13661597" w:rsidR="00251921" w:rsidRDefault="00251921" w:rsidP="00251921">
                  <w:pPr>
                    <w:pStyle w:val="NoSpacing"/>
                    <w:jc w:val="center"/>
                    <w:rPr>
                      <w:rFonts w:eastAsia="Arial"/>
                      <w:sz w:val="20"/>
                      <w:szCs w:val="20"/>
                    </w:rPr>
                  </w:pPr>
                  <w:r>
                    <w:rPr>
                      <w:rFonts w:eastAsia="Arial"/>
                      <w:sz w:val="20"/>
                      <w:szCs w:val="20"/>
                    </w:rPr>
                    <w:t>0.003</w:t>
                  </w:r>
                </w:p>
              </w:tc>
            </w:tr>
          </w:tbl>
          <w:p w14:paraId="53C7B0BF" w14:textId="77777777" w:rsidR="00AE7313" w:rsidRDefault="00AE7313" w:rsidP="00AE7313">
            <w:pPr>
              <w:pStyle w:val="NoSpacing"/>
              <w:rPr>
                <w:rFonts w:eastAsia="Arial"/>
                <w:sz w:val="20"/>
                <w:szCs w:val="20"/>
              </w:rPr>
            </w:pPr>
          </w:p>
          <w:p w14:paraId="5FD866DB" w14:textId="6259240E" w:rsidR="008A292F" w:rsidRDefault="00525F86" w:rsidP="008A292F">
            <w:pPr>
              <w:pStyle w:val="NoSpacing"/>
              <w:numPr>
                <w:ilvl w:val="1"/>
                <w:numId w:val="47"/>
              </w:numPr>
              <w:rPr>
                <w:rFonts w:eastAsia="Arial"/>
                <w:sz w:val="20"/>
                <w:szCs w:val="20"/>
              </w:rPr>
            </w:pPr>
            <w:r>
              <w:rPr>
                <w:rFonts w:eastAsia="Arial"/>
                <w:sz w:val="20"/>
                <w:szCs w:val="20"/>
              </w:rPr>
              <w:t>Adverse Reactions</w:t>
            </w:r>
            <w:r w:rsidR="00BF53C0">
              <w:rPr>
                <w:rFonts w:eastAsia="Arial"/>
                <w:sz w:val="20"/>
                <w:szCs w:val="20"/>
              </w:rPr>
              <w:t xml:space="preserve"> (incidence &gt;</w:t>
            </w:r>
            <w:r w:rsidR="00740A28">
              <w:rPr>
                <w:rFonts w:eastAsia="Arial"/>
                <w:sz w:val="20"/>
                <w:szCs w:val="20"/>
              </w:rPr>
              <w:t xml:space="preserve"> </w:t>
            </w:r>
            <w:r w:rsidR="00BF53C0">
              <w:rPr>
                <w:rFonts w:eastAsia="Arial"/>
                <w:sz w:val="20"/>
                <w:szCs w:val="20"/>
              </w:rPr>
              <w:t>5%) following treatment with Vyjuvek gel (n=31):</w:t>
            </w:r>
          </w:p>
          <w:tbl>
            <w:tblPr>
              <w:tblStyle w:val="TableGrid"/>
              <w:tblW w:w="0" w:type="auto"/>
              <w:tblLayout w:type="fixed"/>
              <w:tblLook w:val="04A0" w:firstRow="1" w:lastRow="0" w:firstColumn="1" w:lastColumn="0" w:noHBand="0" w:noVBand="1"/>
            </w:tblPr>
            <w:tblGrid>
              <w:gridCol w:w="4064"/>
              <w:gridCol w:w="4064"/>
            </w:tblGrid>
            <w:tr w:rsidR="00BF53C0" w14:paraId="0FF0F6ED" w14:textId="77777777" w:rsidTr="00BF53C0">
              <w:tc>
                <w:tcPr>
                  <w:tcW w:w="4064" w:type="dxa"/>
                  <w:shd w:val="clear" w:color="auto" w:fill="FABF8F" w:themeFill="accent6" w:themeFillTint="99"/>
                </w:tcPr>
                <w:p w14:paraId="1E9393A0" w14:textId="639345B0" w:rsidR="00BF53C0" w:rsidRPr="00BF53C0" w:rsidRDefault="00BF53C0" w:rsidP="00BF53C0">
                  <w:pPr>
                    <w:pStyle w:val="NoSpacing"/>
                    <w:jc w:val="center"/>
                    <w:rPr>
                      <w:rFonts w:eastAsia="Arial"/>
                      <w:b/>
                      <w:bCs/>
                      <w:sz w:val="20"/>
                      <w:szCs w:val="20"/>
                    </w:rPr>
                  </w:pPr>
                  <w:r w:rsidRPr="00BF53C0">
                    <w:rPr>
                      <w:rFonts w:eastAsia="Arial"/>
                      <w:b/>
                      <w:bCs/>
                      <w:sz w:val="20"/>
                      <w:szCs w:val="20"/>
                    </w:rPr>
                    <w:t>Adverse Reactions</w:t>
                  </w:r>
                </w:p>
              </w:tc>
              <w:tc>
                <w:tcPr>
                  <w:tcW w:w="4064" w:type="dxa"/>
                  <w:shd w:val="clear" w:color="auto" w:fill="FABF8F" w:themeFill="accent6" w:themeFillTint="99"/>
                </w:tcPr>
                <w:p w14:paraId="1E9331FA" w14:textId="78314DB5" w:rsidR="00BF53C0" w:rsidRPr="00BF53C0" w:rsidRDefault="00BF53C0" w:rsidP="00BF53C0">
                  <w:pPr>
                    <w:pStyle w:val="NoSpacing"/>
                    <w:jc w:val="center"/>
                    <w:rPr>
                      <w:rFonts w:eastAsia="Arial"/>
                      <w:b/>
                      <w:bCs/>
                      <w:sz w:val="20"/>
                      <w:szCs w:val="20"/>
                    </w:rPr>
                  </w:pPr>
                  <w:r w:rsidRPr="00BF53C0">
                    <w:rPr>
                      <w:rFonts w:eastAsia="Arial"/>
                      <w:b/>
                      <w:bCs/>
                      <w:sz w:val="20"/>
                      <w:szCs w:val="20"/>
                    </w:rPr>
                    <w:t>Subject</w:t>
                  </w:r>
                  <w:r>
                    <w:rPr>
                      <w:rFonts w:eastAsia="Arial"/>
                      <w:b/>
                      <w:bCs/>
                      <w:sz w:val="20"/>
                      <w:szCs w:val="20"/>
                    </w:rPr>
                    <w:t>s</w:t>
                  </w:r>
                  <w:r w:rsidRPr="00BF53C0">
                    <w:rPr>
                      <w:rFonts w:eastAsia="Arial"/>
                      <w:b/>
                      <w:bCs/>
                      <w:sz w:val="20"/>
                      <w:szCs w:val="20"/>
                    </w:rPr>
                    <w:t xml:space="preserve"> n (%)</w:t>
                  </w:r>
                </w:p>
              </w:tc>
            </w:tr>
            <w:tr w:rsidR="00BF53C0" w14:paraId="3A3BDF12" w14:textId="77777777" w:rsidTr="00BF53C0">
              <w:tc>
                <w:tcPr>
                  <w:tcW w:w="4064" w:type="dxa"/>
                </w:tcPr>
                <w:p w14:paraId="2A3D90EE" w14:textId="1D74DF07" w:rsidR="00BF53C0" w:rsidRDefault="00BF53C0" w:rsidP="00BF53C0">
                  <w:pPr>
                    <w:pStyle w:val="NoSpacing"/>
                    <w:jc w:val="center"/>
                    <w:rPr>
                      <w:rFonts w:eastAsia="Arial"/>
                      <w:sz w:val="20"/>
                      <w:szCs w:val="20"/>
                    </w:rPr>
                  </w:pPr>
                  <w:r>
                    <w:rPr>
                      <w:rFonts w:eastAsia="Arial"/>
                      <w:sz w:val="20"/>
                      <w:szCs w:val="20"/>
                    </w:rPr>
                    <w:t>Itching</w:t>
                  </w:r>
                </w:p>
              </w:tc>
              <w:tc>
                <w:tcPr>
                  <w:tcW w:w="4064" w:type="dxa"/>
                </w:tcPr>
                <w:p w14:paraId="16EDC218" w14:textId="6F32DF71" w:rsidR="00BF53C0" w:rsidRDefault="00BF53C0" w:rsidP="00BF53C0">
                  <w:pPr>
                    <w:pStyle w:val="NoSpacing"/>
                    <w:jc w:val="center"/>
                    <w:rPr>
                      <w:rFonts w:eastAsia="Arial"/>
                      <w:sz w:val="20"/>
                      <w:szCs w:val="20"/>
                    </w:rPr>
                  </w:pPr>
                  <w:r>
                    <w:rPr>
                      <w:rFonts w:eastAsia="Arial"/>
                      <w:sz w:val="20"/>
                      <w:szCs w:val="20"/>
                    </w:rPr>
                    <w:t>3 (10)</w:t>
                  </w:r>
                </w:p>
              </w:tc>
            </w:tr>
            <w:tr w:rsidR="00BF53C0" w14:paraId="265D2DE6" w14:textId="77777777" w:rsidTr="00BF53C0">
              <w:tc>
                <w:tcPr>
                  <w:tcW w:w="4064" w:type="dxa"/>
                </w:tcPr>
                <w:p w14:paraId="25E992E7" w14:textId="10E1067A" w:rsidR="00BF53C0" w:rsidRDefault="00BF53C0" w:rsidP="00BF53C0">
                  <w:pPr>
                    <w:pStyle w:val="NoSpacing"/>
                    <w:jc w:val="center"/>
                    <w:rPr>
                      <w:rFonts w:eastAsia="Arial"/>
                      <w:sz w:val="20"/>
                      <w:szCs w:val="20"/>
                    </w:rPr>
                  </w:pPr>
                  <w:r>
                    <w:rPr>
                      <w:rFonts w:eastAsia="Arial"/>
                      <w:sz w:val="20"/>
                      <w:szCs w:val="20"/>
                    </w:rPr>
                    <w:t>Chills</w:t>
                  </w:r>
                </w:p>
              </w:tc>
              <w:tc>
                <w:tcPr>
                  <w:tcW w:w="4064" w:type="dxa"/>
                </w:tcPr>
                <w:p w14:paraId="0CB567D6" w14:textId="3049EB5B" w:rsidR="00BF53C0" w:rsidRDefault="00BF53C0" w:rsidP="00BF53C0">
                  <w:pPr>
                    <w:pStyle w:val="NoSpacing"/>
                    <w:jc w:val="center"/>
                    <w:rPr>
                      <w:rFonts w:eastAsia="Arial"/>
                      <w:sz w:val="20"/>
                      <w:szCs w:val="20"/>
                    </w:rPr>
                  </w:pPr>
                  <w:r>
                    <w:rPr>
                      <w:rFonts w:eastAsia="Arial"/>
                      <w:sz w:val="20"/>
                      <w:szCs w:val="20"/>
                    </w:rPr>
                    <w:t>3 (10)</w:t>
                  </w:r>
                </w:p>
              </w:tc>
            </w:tr>
            <w:tr w:rsidR="00BF53C0" w14:paraId="5B953668" w14:textId="77777777" w:rsidTr="00BF53C0">
              <w:tc>
                <w:tcPr>
                  <w:tcW w:w="4064" w:type="dxa"/>
                </w:tcPr>
                <w:p w14:paraId="5FB68A06" w14:textId="057B751B" w:rsidR="00BF53C0" w:rsidRDefault="00BF53C0" w:rsidP="00BF53C0">
                  <w:pPr>
                    <w:pStyle w:val="NoSpacing"/>
                    <w:jc w:val="center"/>
                    <w:rPr>
                      <w:rFonts w:eastAsia="Arial"/>
                      <w:sz w:val="20"/>
                      <w:szCs w:val="20"/>
                    </w:rPr>
                  </w:pPr>
                  <w:r>
                    <w:rPr>
                      <w:rFonts w:eastAsia="Arial"/>
                      <w:sz w:val="20"/>
                      <w:szCs w:val="20"/>
                    </w:rPr>
                    <w:t>Redness</w:t>
                  </w:r>
                </w:p>
              </w:tc>
              <w:tc>
                <w:tcPr>
                  <w:tcW w:w="4064" w:type="dxa"/>
                </w:tcPr>
                <w:p w14:paraId="78D9EE3B" w14:textId="4960DB48" w:rsidR="00BF53C0" w:rsidRDefault="00BF53C0" w:rsidP="00BF53C0">
                  <w:pPr>
                    <w:pStyle w:val="NoSpacing"/>
                    <w:jc w:val="center"/>
                    <w:rPr>
                      <w:rFonts w:eastAsia="Arial"/>
                      <w:sz w:val="20"/>
                      <w:szCs w:val="20"/>
                    </w:rPr>
                  </w:pPr>
                  <w:r>
                    <w:rPr>
                      <w:rFonts w:eastAsia="Arial"/>
                      <w:sz w:val="20"/>
                      <w:szCs w:val="20"/>
                    </w:rPr>
                    <w:t>2 (6)</w:t>
                  </w:r>
                </w:p>
              </w:tc>
            </w:tr>
            <w:tr w:rsidR="00BF53C0" w14:paraId="55F562D1" w14:textId="77777777" w:rsidTr="00BF53C0">
              <w:tc>
                <w:tcPr>
                  <w:tcW w:w="4064" w:type="dxa"/>
                </w:tcPr>
                <w:p w14:paraId="0655200E" w14:textId="1358E022" w:rsidR="00BF53C0" w:rsidRDefault="00BF53C0" w:rsidP="00BF53C0">
                  <w:pPr>
                    <w:pStyle w:val="NoSpacing"/>
                    <w:jc w:val="center"/>
                    <w:rPr>
                      <w:rFonts w:eastAsia="Arial"/>
                      <w:sz w:val="20"/>
                      <w:szCs w:val="20"/>
                    </w:rPr>
                  </w:pPr>
                  <w:r>
                    <w:rPr>
                      <w:rFonts w:eastAsia="Arial"/>
                      <w:sz w:val="20"/>
                      <w:szCs w:val="20"/>
                    </w:rPr>
                    <w:t>Rash</w:t>
                  </w:r>
                </w:p>
              </w:tc>
              <w:tc>
                <w:tcPr>
                  <w:tcW w:w="4064" w:type="dxa"/>
                </w:tcPr>
                <w:p w14:paraId="0ABB7E9F" w14:textId="324D84AA" w:rsidR="00BF53C0" w:rsidRDefault="00BF53C0" w:rsidP="00BF53C0">
                  <w:pPr>
                    <w:pStyle w:val="NoSpacing"/>
                    <w:jc w:val="center"/>
                    <w:rPr>
                      <w:rFonts w:eastAsia="Arial"/>
                      <w:sz w:val="20"/>
                      <w:szCs w:val="20"/>
                    </w:rPr>
                  </w:pPr>
                  <w:r>
                    <w:rPr>
                      <w:rFonts w:eastAsia="Arial"/>
                      <w:sz w:val="20"/>
                      <w:szCs w:val="20"/>
                    </w:rPr>
                    <w:t>2 (6)</w:t>
                  </w:r>
                </w:p>
              </w:tc>
            </w:tr>
            <w:tr w:rsidR="00BF53C0" w14:paraId="6370A030" w14:textId="77777777" w:rsidTr="00BF53C0">
              <w:tc>
                <w:tcPr>
                  <w:tcW w:w="4064" w:type="dxa"/>
                </w:tcPr>
                <w:p w14:paraId="41DCC996" w14:textId="592008D1" w:rsidR="00BF53C0" w:rsidRDefault="00BF53C0" w:rsidP="00BF53C0">
                  <w:pPr>
                    <w:pStyle w:val="NoSpacing"/>
                    <w:jc w:val="center"/>
                    <w:rPr>
                      <w:rFonts w:eastAsia="Arial"/>
                      <w:sz w:val="20"/>
                      <w:szCs w:val="20"/>
                    </w:rPr>
                  </w:pPr>
                  <w:r>
                    <w:rPr>
                      <w:rFonts w:eastAsia="Arial"/>
                      <w:sz w:val="20"/>
                      <w:szCs w:val="20"/>
                    </w:rPr>
                    <w:t>Cough</w:t>
                  </w:r>
                </w:p>
              </w:tc>
              <w:tc>
                <w:tcPr>
                  <w:tcW w:w="4064" w:type="dxa"/>
                </w:tcPr>
                <w:p w14:paraId="4E2E5B47" w14:textId="3E28052C" w:rsidR="00BF53C0" w:rsidRDefault="00BF53C0" w:rsidP="00BF53C0">
                  <w:pPr>
                    <w:pStyle w:val="NoSpacing"/>
                    <w:jc w:val="center"/>
                    <w:rPr>
                      <w:rFonts w:eastAsia="Arial"/>
                      <w:sz w:val="20"/>
                      <w:szCs w:val="20"/>
                    </w:rPr>
                  </w:pPr>
                  <w:r>
                    <w:rPr>
                      <w:rFonts w:eastAsia="Arial"/>
                      <w:sz w:val="20"/>
                      <w:szCs w:val="20"/>
                    </w:rPr>
                    <w:t>2 (6)</w:t>
                  </w:r>
                </w:p>
              </w:tc>
            </w:tr>
            <w:tr w:rsidR="00BF53C0" w14:paraId="13924FD7" w14:textId="77777777" w:rsidTr="00BF53C0">
              <w:tc>
                <w:tcPr>
                  <w:tcW w:w="4064" w:type="dxa"/>
                </w:tcPr>
                <w:p w14:paraId="72BE32C4" w14:textId="18971C9C" w:rsidR="00BF53C0" w:rsidRDefault="00BF53C0" w:rsidP="00BF53C0">
                  <w:pPr>
                    <w:pStyle w:val="NoSpacing"/>
                    <w:jc w:val="center"/>
                    <w:rPr>
                      <w:rFonts w:eastAsia="Arial"/>
                      <w:sz w:val="20"/>
                      <w:szCs w:val="20"/>
                    </w:rPr>
                  </w:pPr>
                  <w:r>
                    <w:rPr>
                      <w:rFonts w:eastAsia="Arial"/>
                      <w:sz w:val="20"/>
                      <w:szCs w:val="20"/>
                    </w:rPr>
                    <w:t>Runny Nose</w:t>
                  </w:r>
                </w:p>
              </w:tc>
              <w:tc>
                <w:tcPr>
                  <w:tcW w:w="4064" w:type="dxa"/>
                </w:tcPr>
                <w:p w14:paraId="05AE8789" w14:textId="2F3B9F18" w:rsidR="00BF53C0" w:rsidRDefault="00BF53C0" w:rsidP="00BF53C0">
                  <w:pPr>
                    <w:pStyle w:val="NoSpacing"/>
                    <w:jc w:val="center"/>
                    <w:rPr>
                      <w:rFonts w:eastAsia="Arial"/>
                      <w:sz w:val="20"/>
                      <w:szCs w:val="20"/>
                    </w:rPr>
                  </w:pPr>
                  <w:r>
                    <w:rPr>
                      <w:rFonts w:eastAsia="Arial"/>
                      <w:sz w:val="20"/>
                      <w:szCs w:val="20"/>
                    </w:rPr>
                    <w:t>2 (6)</w:t>
                  </w:r>
                </w:p>
              </w:tc>
            </w:tr>
          </w:tbl>
          <w:p w14:paraId="48E7E366" w14:textId="3017E844" w:rsidR="00BF53C0" w:rsidRPr="00BF53C0" w:rsidRDefault="00BF53C0" w:rsidP="00BF53C0">
            <w:pPr>
              <w:pStyle w:val="NoSpacing"/>
              <w:rPr>
                <w:rFonts w:eastAsia="Arial"/>
                <w:sz w:val="20"/>
                <w:szCs w:val="20"/>
              </w:rPr>
            </w:pPr>
          </w:p>
        </w:tc>
      </w:tr>
      <w:tr w:rsidR="00DD7B75" w:rsidRPr="00DD7B75" w14:paraId="41992EF2" w14:textId="77777777" w:rsidTr="0089062E">
        <w:trPr>
          <w:trHeight w:val="467"/>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704A9F9D" w14:textId="58073778" w:rsidR="00DD7B75" w:rsidRPr="00DD7B75" w:rsidRDefault="004C062C" w:rsidP="00DD7B75">
            <w:pPr>
              <w:tabs>
                <w:tab w:val="left" w:pos="2400"/>
              </w:tabs>
              <w:suppressAutoHyphens/>
              <w:spacing w:before="60" w:after="60" w:line="220" w:lineRule="exact"/>
              <w:rPr>
                <w:b/>
                <w:color w:val="FFFFFF"/>
                <w:sz w:val="20"/>
                <w:szCs w:val="20"/>
              </w:rPr>
            </w:pPr>
            <w:r>
              <w:rPr>
                <w:b/>
                <w:bCs/>
                <w:color w:val="FFFFFF"/>
                <w:sz w:val="20"/>
                <w:szCs w:val="20"/>
              </w:rPr>
              <w:lastRenderedPageBreak/>
              <w:t>Price Per Unit (WAC):</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2B97F9EE" w14:textId="77777777" w:rsidR="00740A28" w:rsidRDefault="00D240D4" w:rsidP="00740A28">
            <w:pPr>
              <w:pStyle w:val="NoSpacing"/>
              <w:numPr>
                <w:ilvl w:val="0"/>
                <w:numId w:val="51"/>
              </w:numPr>
              <w:rPr>
                <w:sz w:val="20"/>
                <w:szCs w:val="20"/>
              </w:rPr>
            </w:pPr>
            <w:r w:rsidRPr="00D240D4">
              <w:rPr>
                <w:sz w:val="20"/>
                <w:szCs w:val="20"/>
              </w:rPr>
              <w:t xml:space="preserve">$24,250 per </w:t>
            </w:r>
            <w:r w:rsidR="002C3786">
              <w:rPr>
                <w:sz w:val="20"/>
                <w:szCs w:val="20"/>
              </w:rPr>
              <w:t xml:space="preserve">2.5 mL </w:t>
            </w:r>
            <w:r w:rsidR="00740A28">
              <w:rPr>
                <w:sz w:val="20"/>
                <w:szCs w:val="20"/>
              </w:rPr>
              <w:t>vial</w:t>
            </w:r>
            <w:r w:rsidRPr="00D240D4">
              <w:rPr>
                <w:sz w:val="20"/>
                <w:szCs w:val="20"/>
              </w:rPr>
              <w:t xml:space="preserve"> (</w:t>
            </w:r>
            <w:r w:rsidR="002C3786">
              <w:rPr>
                <w:sz w:val="20"/>
                <w:szCs w:val="20"/>
              </w:rPr>
              <w:t>1.6 mL after reconstitution</w:t>
            </w:r>
            <w:r>
              <w:rPr>
                <w:sz w:val="20"/>
                <w:szCs w:val="20"/>
              </w:rPr>
              <w:t>)</w:t>
            </w:r>
          </w:p>
          <w:p w14:paraId="0CCE007A" w14:textId="77777777" w:rsidR="00D240D4" w:rsidRDefault="002C3786" w:rsidP="00740A28">
            <w:pPr>
              <w:pStyle w:val="NoSpacing"/>
              <w:numPr>
                <w:ilvl w:val="0"/>
                <w:numId w:val="51"/>
              </w:numPr>
              <w:rPr>
                <w:sz w:val="20"/>
                <w:szCs w:val="20"/>
              </w:rPr>
            </w:pPr>
            <w:r>
              <w:rPr>
                <w:sz w:val="20"/>
                <w:szCs w:val="20"/>
              </w:rPr>
              <w:t>$</w:t>
            </w:r>
            <w:r w:rsidR="00740A28">
              <w:rPr>
                <w:sz w:val="20"/>
                <w:szCs w:val="20"/>
              </w:rPr>
              <w:t xml:space="preserve">630,500 - $1,261,000 per year depending on treatment duration. </w:t>
            </w:r>
          </w:p>
          <w:p w14:paraId="79DA2A64" w14:textId="42991672" w:rsidR="00740A28" w:rsidRPr="002C3786" w:rsidRDefault="00740A28" w:rsidP="00740A28">
            <w:pPr>
              <w:pStyle w:val="NoSpacing"/>
              <w:numPr>
                <w:ilvl w:val="1"/>
                <w:numId w:val="51"/>
              </w:numPr>
              <w:rPr>
                <w:sz w:val="20"/>
                <w:szCs w:val="20"/>
              </w:rPr>
            </w:pPr>
            <w:r>
              <w:rPr>
                <w:sz w:val="20"/>
                <w:szCs w:val="20"/>
              </w:rPr>
              <w:t xml:space="preserve">In the GEM-3 trial, 65% of participants experienced wound closure at 26 weeks. If additional wounds are present, further treatment may be required. </w:t>
            </w:r>
          </w:p>
        </w:tc>
      </w:tr>
      <w:tr w:rsidR="00DD7B75" w:rsidRPr="0068720C" w14:paraId="4C609E73" w14:textId="77777777" w:rsidTr="151A7E19">
        <w:trPr>
          <w:trHeight w:val="836"/>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2CAAD40E" w14:textId="77777777" w:rsidR="00DD7B75" w:rsidRPr="00DD7B75" w:rsidRDefault="00DD7B75" w:rsidP="00DD7B75">
            <w:pPr>
              <w:tabs>
                <w:tab w:val="left" w:pos="2400"/>
              </w:tabs>
              <w:suppressAutoHyphens/>
              <w:spacing w:before="60" w:after="60" w:line="220" w:lineRule="exact"/>
              <w:rPr>
                <w:b/>
                <w:color w:val="FFFFFF"/>
                <w:sz w:val="20"/>
                <w:szCs w:val="20"/>
              </w:rPr>
            </w:pPr>
            <w:r w:rsidRPr="00DD7B75">
              <w:rPr>
                <w:b/>
                <w:color w:val="FFFFFF" w:themeColor="background1"/>
                <w:sz w:val="20"/>
                <w:szCs w:val="20"/>
              </w:rPr>
              <w:t>Therapeutic Alternatives:</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tcPr>
          <w:p w14:paraId="2863498C" w14:textId="77777777" w:rsidR="00CD23D0" w:rsidRDefault="00B97F6F" w:rsidP="00B97F6F">
            <w:pPr>
              <w:pStyle w:val="NoSpacing"/>
              <w:numPr>
                <w:ilvl w:val="0"/>
                <w:numId w:val="47"/>
              </w:numPr>
              <w:rPr>
                <w:rFonts w:eastAsia="Arial"/>
                <w:sz w:val="20"/>
                <w:szCs w:val="20"/>
              </w:rPr>
            </w:pPr>
            <w:r>
              <w:rPr>
                <w:rFonts w:eastAsia="Arial"/>
                <w:sz w:val="20"/>
                <w:szCs w:val="20"/>
              </w:rPr>
              <w:t xml:space="preserve">Vyjuvek is the first FDA-approved therapy for DEB. </w:t>
            </w:r>
          </w:p>
          <w:p w14:paraId="7505A71F" w14:textId="77777777" w:rsidR="00B97F6F" w:rsidRDefault="00B97F6F" w:rsidP="00B97F6F">
            <w:pPr>
              <w:pStyle w:val="NoSpacing"/>
              <w:numPr>
                <w:ilvl w:val="0"/>
                <w:numId w:val="47"/>
              </w:numPr>
              <w:rPr>
                <w:rFonts w:eastAsia="Arial"/>
                <w:sz w:val="20"/>
                <w:szCs w:val="20"/>
              </w:rPr>
            </w:pPr>
            <w:r>
              <w:rPr>
                <w:rFonts w:eastAsia="Arial"/>
                <w:sz w:val="20"/>
                <w:szCs w:val="20"/>
              </w:rPr>
              <w:t xml:space="preserve">Disease management is mostly supportive focusing on wound care, pain control, controlling infections, nutritional support, and prevention and treatment of complications. </w:t>
            </w:r>
          </w:p>
          <w:p w14:paraId="5CF8B5BB" w14:textId="2B69C23B" w:rsidR="00B97F6F" w:rsidRPr="00CD23D0" w:rsidRDefault="00B97F6F" w:rsidP="00B97F6F">
            <w:pPr>
              <w:pStyle w:val="NoSpacing"/>
              <w:numPr>
                <w:ilvl w:val="0"/>
                <w:numId w:val="47"/>
              </w:numPr>
              <w:rPr>
                <w:rFonts w:eastAsia="Arial"/>
                <w:sz w:val="20"/>
                <w:szCs w:val="20"/>
              </w:rPr>
            </w:pPr>
            <w:r>
              <w:rPr>
                <w:rFonts w:eastAsia="Arial"/>
                <w:sz w:val="20"/>
                <w:szCs w:val="20"/>
              </w:rPr>
              <w:t xml:space="preserve">Non-pharmacologic approaches include reducing skin friction, use of non-adhesive bandages, keeping the skin cool, and use of specific clothing to reduce skin abrasions (loose-fitting, padding, etc.). </w:t>
            </w:r>
          </w:p>
        </w:tc>
      </w:tr>
      <w:tr w:rsidR="00DD7B75" w:rsidRPr="00DD7B75" w14:paraId="40679444" w14:textId="77777777" w:rsidTr="0022311B">
        <w:trPr>
          <w:trHeight w:val="1700"/>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369F592F" w14:textId="6353B971" w:rsidR="00DD7B75" w:rsidRPr="00DD7B75" w:rsidRDefault="00DD7B75" w:rsidP="00DD7B75">
            <w:pPr>
              <w:tabs>
                <w:tab w:val="left" w:pos="2400"/>
              </w:tabs>
              <w:suppressAutoHyphens/>
              <w:spacing w:before="60" w:after="60" w:line="220" w:lineRule="exact"/>
              <w:rPr>
                <w:b/>
                <w:color w:val="FFFFFF"/>
                <w:sz w:val="20"/>
                <w:szCs w:val="20"/>
              </w:rPr>
            </w:pPr>
            <w:r w:rsidRPr="00DD7B75">
              <w:rPr>
                <w:b/>
                <w:bCs/>
                <w:color w:val="FFFFFF"/>
                <w:sz w:val="20"/>
                <w:szCs w:val="20"/>
              </w:rPr>
              <w:t xml:space="preserve">Prior Authorization </w:t>
            </w:r>
            <w:r w:rsidRPr="00DD7B75">
              <w:rPr>
                <w:b/>
                <w:color w:val="FFFFFF"/>
                <w:sz w:val="20"/>
                <w:szCs w:val="20"/>
              </w:rPr>
              <w:t>Approval Criteria:</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tcPr>
          <w:p w14:paraId="2A9FC84D" w14:textId="77777777" w:rsidR="006B4D4D" w:rsidRPr="00386897" w:rsidRDefault="006B4D4D" w:rsidP="006B4D4D">
            <w:pPr>
              <w:rPr>
                <w:rFonts w:eastAsia="Arial"/>
                <w:b/>
                <w:bCs/>
                <w:sz w:val="20"/>
                <w:szCs w:val="20"/>
              </w:rPr>
            </w:pPr>
            <w:r w:rsidRPr="00386897">
              <w:rPr>
                <w:rFonts w:eastAsia="Arial"/>
                <w:b/>
                <w:bCs/>
                <w:sz w:val="20"/>
                <w:szCs w:val="20"/>
              </w:rPr>
              <w:t>Must meet the following criteria:</w:t>
            </w:r>
          </w:p>
          <w:p w14:paraId="4ED405AB" w14:textId="77777777" w:rsidR="006B4D4D" w:rsidRPr="00386897" w:rsidRDefault="006B4D4D" w:rsidP="006B4D4D">
            <w:pPr>
              <w:rPr>
                <w:rFonts w:eastAsia="Arial"/>
                <w:b/>
                <w:bCs/>
                <w:sz w:val="20"/>
                <w:szCs w:val="20"/>
              </w:rPr>
            </w:pPr>
          </w:p>
          <w:p w14:paraId="36EA46D7" w14:textId="77777777" w:rsidR="006B4D4D" w:rsidRPr="00386897" w:rsidRDefault="006B4D4D" w:rsidP="006B4D4D">
            <w:pPr>
              <w:rPr>
                <w:rFonts w:eastAsia="Arial"/>
                <w:sz w:val="20"/>
                <w:szCs w:val="20"/>
                <w:u w:val="single"/>
              </w:rPr>
            </w:pPr>
            <w:r w:rsidRPr="00386897">
              <w:rPr>
                <w:rFonts w:eastAsia="Arial"/>
                <w:sz w:val="20"/>
                <w:szCs w:val="20"/>
                <w:u w:val="single"/>
              </w:rPr>
              <w:t>Initial Therapy:</w:t>
            </w:r>
          </w:p>
          <w:p w14:paraId="419EE940" w14:textId="1CBD3463" w:rsidR="00B923C0" w:rsidRDefault="00B923C0" w:rsidP="00B923C0">
            <w:pPr>
              <w:pStyle w:val="ListParagraph"/>
              <w:numPr>
                <w:ilvl w:val="0"/>
                <w:numId w:val="50"/>
              </w:numPr>
              <w:rPr>
                <w:rFonts w:ascii="Arial" w:eastAsia="Arial" w:hAnsi="Arial" w:cs="Arial"/>
                <w:sz w:val="20"/>
                <w:szCs w:val="20"/>
              </w:rPr>
            </w:pPr>
            <w:r>
              <w:rPr>
                <w:rFonts w:ascii="Arial" w:eastAsia="Arial" w:hAnsi="Arial" w:cs="Arial"/>
                <w:sz w:val="20"/>
                <w:szCs w:val="20"/>
              </w:rPr>
              <w:t xml:space="preserve">Prescribed by or in consultation with a dermatologist or other specialist in the treated disease state </w:t>
            </w:r>
            <w:r w:rsidRPr="005552BD">
              <w:rPr>
                <w:rFonts w:ascii="Arial" w:eastAsia="Arial" w:hAnsi="Arial" w:cs="Arial"/>
                <w:b/>
                <w:sz w:val="20"/>
                <w:szCs w:val="20"/>
              </w:rPr>
              <w:t>AND</w:t>
            </w:r>
          </w:p>
          <w:p w14:paraId="08670A67" w14:textId="2787A478" w:rsidR="00B923C0" w:rsidRDefault="00B923C0" w:rsidP="00B923C0">
            <w:pPr>
              <w:pStyle w:val="ListParagraph"/>
              <w:numPr>
                <w:ilvl w:val="0"/>
                <w:numId w:val="50"/>
              </w:numPr>
              <w:rPr>
                <w:rFonts w:ascii="Arial" w:eastAsia="Arial" w:hAnsi="Arial" w:cs="Arial"/>
                <w:sz w:val="20"/>
                <w:szCs w:val="20"/>
              </w:rPr>
            </w:pPr>
            <w:r w:rsidRPr="00CF6F34">
              <w:rPr>
                <w:rFonts w:ascii="Arial" w:eastAsia="Arial" w:hAnsi="Arial" w:cs="Arial"/>
                <w:sz w:val="20"/>
                <w:szCs w:val="20"/>
              </w:rPr>
              <w:t xml:space="preserve">Participant is aged </w:t>
            </w:r>
            <w:r>
              <w:rPr>
                <w:rFonts w:ascii="Arial" w:eastAsia="Arial" w:hAnsi="Arial" w:cs="Arial"/>
                <w:sz w:val="20"/>
                <w:szCs w:val="20"/>
              </w:rPr>
              <w:t>6 months</w:t>
            </w:r>
            <w:r w:rsidRPr="00CF6F34">
              <w:rPr>
                <w:rFonts w:ascii="Arial" w:eastAsia="Arial" w:hAnsi="Arial" w:cs="Arial"/>
                <w:sz w:val="20"/>
                <w:szCs w:val="20"/>
              </w:rPr>
              <w:t xml:space="preserve"> or older </w:t>
            </w:r>
            <w:r w:rsidRPr="005552BD">
              <w:rPr>
                <w:rFonts w:ascii="Arial" w:eastAsia="Arial" w:hAnsi="Arial" w:cs="Arial"/>
                <w:b/>
                <w:sz w:val="20"/>
                <w:szCs w:val="20"/>
              </w:rPr>
              <w:t>AND</w:t>
            </w:r>
          </w:p>
          <w:p w14:paraId="4FE6C27E" w14:textId="678863AD" w:rsidR="00B923C0" w:rsidRPr="002C3786" w:rsidRDefault="00B923C0" w:rsidP="00B923C0">
            <w:pPr>
              <w:pStyle w:val="ListParagraph"/>
              <w:numPr>
                <w:ilvl w:val="0"/>
                <w:numId w:val="50"/>
              </w:numPr>
              <w:rPr>
                <w:rFonts w:ascii="Arial" w:eastAsia="Arial" w:hAnsi="Arial" w:cs="Arial"/>
                <w:sz w:val="20"/>
                <w:szCs w:val="20"/>
              </w:rPr>
            </w:pPr>
            <w:r>
              <w:rPr>
                <w:rFonts w:ascii="Arial" w:eastAsia="Arial" w:hAnsi="Arial" w:cs="Arial"/>
                <w:sz w:val="20"/>
                <w:szCs w:val="20"/>
              </w:rPr>
              <w:t xml:space="preserve">Documented diagnosis of dystrophic epidermolysis bullosa (DEB) confirmed by genetic </w:t>
            </w:r>
            <w:r w:rsidRPr="00B923C0">
              <w:rPr>
                <w:rFonts w:ascii="Arial" w:eastAsia="Arial" w:hAnsi="Arial" w:cs="Arial"/>
                <w:sz w:val="20"/>
                <w:szCs w:val="20"/>
              </w:rPr>
              <w:t xml:space="preserve">testing showing </w:t>
            </w:r>
            <w:r w:rsidR="00C04C5C">
              <w:rPr>
                <w:rFonts w:ascii="Arial" w:eastAsia="Arial" w:hAnsi="Arial" w:cs="Arial"/>
                <w:sz w:val="20"/>
                <w:szCs w:val="20"/>
              </w:rPr>
              <w:t>pathogenic variant(s)</w:t>
            </w:r>
            <w:r w:rsidRPr="00B923C0">
              <w:rPr>
                <w:rFonts w:ascii="Arial" w:eastAsia="Arial" w:hAnsi="Arial" w:cs="Arial"/>
                <w:sz w:val="20"/>
                <w:szCs w:val="20"/>
              </w:rPr>
              <w:t xml:space="preserve"> in the </w:t>
            </w:r>
            <w:r w:rsidRPr="00B923C0">
              <w:rPr>
                <w:rFonts w:ascii="Arial" w:eastAsia="Arial" w:hAnsi="Arial" w:cs="Arial"/>
                <w:i/>
                <w:iCs/>
                <w:sz w:val="20"/>
                <w:szCs w:val="20"/>
              </w:rPr>
              <w:t>COL7A1</w:t>
            </w:r>
            <w:r w:rsidRPr="00B923C0">
              <w:rPr>
                <w:rFonts w:ascii="Arial" w:eastAsia="Arial" w:hAnsi="Arial" w:cs="Arial"/>
                <w:sz w:val="20"/>
                <w:szCs w:val="20"/>
              </w:rPr>
              <w:t xml:space="preserve"> gene </w:t>
            </w:r>
            <w:r w:rsidRPr="00B923C0">
              <w:rPr>
                <w:rFonts w:ascii="Arial" w:eastAsia="Arial" w:hAnsi="Arial" w:cs="Arial"/>
                <w:b/>
                <w:sz w:val="20"/>
                <w:szCs w:val="20"/>
              </w:rPr>
              <w:t>AND</w:t>
            </w:r>
          </w:p>
          <w:p w14:paraId="05D1D646" w14:textId="41736B3A" w:rsidR="002C3786" w:rsidRPr="00D240D4" w:rsidRDefault="002C3786" w:rsidP="00B923C0">
            <w:pPr>
              <w:pStyle w:val="ListParagraph"/>
              <w:numPr>
                <w:ilvl w:val="0"/>
                <w:numId w:val="50"/>
              </w:numPr>
              <w:rPr>
                <w:rFonts w:ascii="Arial" w:eastAsia="Arial" w:hAnsi="Arial" w:cs="Arial"/>
                <w:sz w:val="20"/>
                <w:szCs w:val="20"/>
              </w:rPr>
            </w:pPr>
            <w:r>
              <w:rPr>
                <w:rFonts w:ascii="Arial" w:eastAsia="Arial" w:hAnsi="Arial" w:cs="Arial"/>
                <w:bCs/>
                <w:sz w:val="20"/>
                <w:szCs w:val="20"/>
              </w:rPr>
              <w:t xml:space="preserve">Participant (female of childbearing age) is not pregnant </w:t>
            </w:r>
            <w:r w:rsidRPr="002C3786">
              <w:rPr>
                <w:rFonts w:ascii="Arial" w:eastAsia="Arial" w:hAnsi="Arial" w:cs="Arial"/>
                <w:b/>
                <w:sz w:val="20"/>
                <w:szCs w:val="20"/>
              </w:rPr>
              <w:t>AND</w:t>
            </w:r>
          </w:p>
          <w:p w14:paraId="7D7151C1" w14:textId="4846B400" w:rsidR="00D240D4" w:rsidRPr="00B923C0" w:rsidRDefault="002C3786" w:rsidP="00B923C0">
            <w:pPr>
              <w:pStyle w:val="ListParagraph"/>
              <w:numPr>
                <w:ilvl w:val="0"/>
                <w:numId w:val="50"/>
              </w:numPr>
              <w:rPr>
                <w:rFonts w:ascii="Arial" w:eastAsia="Arial" w:hAnsi="Arial" w:cs="Arial"/>
                <w:sz w:val="20"/>
                <w:szCs w:val="20"/>
              </w:rPr>
            </w:pPr>
            <w:r>
              <w:rPr>
                <w:rFonts w:ascii="Arial" w:eastAsia="Arial" w:hAnsi="Arial" w:cs="Arial"/>
                <w:sz w:val="20"/>
                <w:szCs w:val="20"/>
              </w:rPr>
              <w:t>Documented baseline number and size of wounds</w:t>
            </w:r>
          </w:p>
          <w:p w14:paraId="0937AD35" w14:textId="05FEEDB5" w:rsidR="006B4D4D" w:rsidRPr="00B923C0" w:rsidRDefault="00B923C0" w:rsidP="00B923C0">
            <w:pPr>
              <w:pStyle w:val="ListParagraph"/>
              <w:numPr>
                <w:ilvl w:val="0"/>
                <w:numId w:val="50"/>
              </w:numPr>
              <w:rPr>
                <w:rFonts w:ascii="Arial" w:eastAsia="Arial" w:hAnsi="Arial" w:cs="Arial"/>
                <w:sz w:val="20"/>
                <w:szCs w:val="20"/>
              </w:rPr>
            </w:pPr>
            <w:r>
              <w:rPr>
                <w:rFonts w:ascii="Arial" w:eastAsia="Arial" w:hAnsi="Arial" w:cs="Arial"/>
                <w:sz w:val="20"/>
                <w:szCs w:val="20"/>
              </w:rPr>
              <w:t>Initial approval</w:t>
            </w:r>
            <w:r w:rsidR="00740A28">
              <w:rPr>
                <w:rFonts w:ascii="Arial" w:eastAsia="Arial" w:hAnsi="Arial" w:cs="Arial"/>
                <w:sz w:val="20"/>
                <w:szCs w:val="20"/>
              </w:rPr>
              <w:t>:</w:t>
            </w:r>
            <w:r>
              <w:rPr>
                <w:rFonts w:ascii="Arial" w:eastAsia="Arial" w:hAnsi="Arial" w:cs="Arial"/>
                <w:sz w:val="20"/>
                <w:szCs w:val="20"/>
              </w:rPr>
              <w:t xml:space="preserve"> 6 months</w:t>
            </w:r>
          </w:p>
          <w:p w14:paraId="03809855" w14:textId="5F924396" w:rsidR="006B4D4D" w:rsidRPr="00386897" w:rsidRDefault="006B4D4D" w:rsidP="006B4D4D">
            <w:pPr>
              <w:pStyle w:val="NoSpacing"/>
              <w:rPr>
                <w:rFonts w:eastAsia="Arial"/>
                <w:sz w:val="20"/>
                <w:szCs w:val="20"/>
                <w:u w:val="single"/>
              </w:rPr>
            </w:pPr>
            <w:r w:rsidRPr="00386897">
              <w:rPr>
                <w:rFonts w:eastAsia="Arial"/>
                <w:sz w:val="20"/>
                <w:szCs w:val="20"/>
                <w:u w:val="single"/>
              </w:rPr>
              <w:t>Continuation of Therapy:</w:t>
            </w:r>
          </w:p>
          <w:p w14:paraId="320BCC6F" w14:textId="2465CFFB" w:rsidR="00B923C0" w:rsidRDefault="00B923C0" w:rsidP="00B923C0">
            <w:pPr>
              <w:pStyle w:val="ListParagraph"/>
              <w:numPr>
                <w:ilvl w:val="0"/>
                <w:numId w:val="50"/>
              </w:numPr>
              <w:rPr>
                <w:rFonts w:ascii="Arial" w:eastAsia="Arial" w:hAnsi="Arial" w:cs="Arial"/>
                <w:sz w:val="20"/>
                <w:szCs w:val="20"/>
              </w:rPr>
            </w:pPr>
            <w:r w:rsidRPr="005552BD">
              <w:rPr>
                <w:rFonts w:ascii="Arial" w:eastAsia="Arial" w:hAnsi="Arial" w:cs="Arial"/>
                <w:sz w:val="20"/>
                <w:szCs w:val="20"/>
              </w:rPr>
              <w:t xml:space="preserve">Documented benefit of therapy defined </w:t>
            </w:r>
            <w:r w:rsidR="002C3786">
              <w:rPr>
                <w:rFonts w:ascii="Arial" w:eastAsia="Arial" w:hAnsi="Arial" w:cs="Arial"/>
                <w:sz w:val="20"/>
                <w:szCs w:val="20"/>
              </w:rPr>
              <w:t xml:space="preserve">as reduction in number or size of </w:t>
            </w:r>
            <w:proofErr w:type="gramStart"/>
            <w:r w:rsidR="002C3786">
              <w:rPr>
                <w:rFonts w:ascii="Arial" w:eastAsia="Arial" w:hAnsi="Arial" w:cs="Arial"/>
                <w:sz w:val="20"/>
                <w:szCs w:val="20"/>
              </w:rPr>
              <w:t>wounds</w:t>
            </w:r>
            <w:proofErr w:type="gramEnd"/>
          </w:p>
          <w:p w14:paraId="50655FE6" w14:textId="1FF1E783" w:rsidR="006B4D4D" w:rsidRPr="00B923C0" w:rsidRDefault="00B923C0" w:rsidP="00B923C0">
            <w:pPr>
              <w:pStyle w:val="ListParagraph"/>
              <w:numPr>
                <w:ilvl w:val="0"/>
                <w:numId w:val="50"/>
              </w:numPr>
              <w:rPr>
                <w:rFonts w:ascii="Arial" w:eastAsia="Arial" w:hAnsi="Arial" w:cs="Arial"/>
                <w:sz w:val="20"/>
                <w:szCs w:val="20"/>
              </w:rPr>
            </w:pPr>
            <w:r>
              <w:rPr>
                <w:rFonts w:ascii="Arial" w:eastAsia="Arial" w:hAnsi="Arial" w:cs="Arial"/>
                <w:sz w:val="20"/>
                <w:szCs w:val="20"/>
              </w:rPr>
              <w:lastRenderedPageBreak/>
              <w:t>Continued approval</w:t>
            </w:r>
            <w:r w:rsidR="00740A28">
              <w:rPr>
                <w:rFonts w:ascii="Arial" w:eastAsia="Arial" w:hAnsi="Arial" w:cs="Arial"/>
                <w:sz w:val="20"/>
                <w:szCs w:val="20"/>
              </w:rPr>
              <w:t>:</w:t>
            </w:r>
            <w:r>
              <w:rPr>
                <w:rFonts w:ascii="Arial" w:eastAsia="Arial" w:hAnsi="Arial" w:cs="Arial"/>
                <w:sz w:val="20"/>
                <w:szCs w:val="20"/>
              </w:rPr>
              <w:t xml:space="preserve"> 1 year</w:t>
            </w:r>
          </w:p>
          <w:p w14:paraId="5C1CE866" w14:textId="77777777" w:rsidR="006B4D4D" w:rsidRPr="002C3786" w:rsidRDefault="006B4D4D" w:rsidP="006B4D4D">
            <w:pPr>
              <w:pStyle w:val="NoSpacing"/>
              <w:widowControl w:val="0"/>
              <w:rPr>
                <w:rFonts w:eastAsia="Arial"/>
                <w:b/>
                <w:bCs/>
                <w:sz w:val="20"/>
                <w:szCs w:val="20"/>
              </w:rPr>
            </w:pPr>
            <w:bookmarkStart w:id="0" w:name="_Hlk8978673"/>
            <w:r w:rsidRPr="00386897">
              <w:rPr>
                <w:rFonts w:eastAsia="Arial"/>
                <w:b/>
                <w:bCs/>
                <w:sz w:val="20"/>
                <w:szCs w:val="20"/>
              </w:rPr>
              <w:t>Additional Provider Diagnostic/</w:t>
            </w:r>
            <w:r w:rsidRPr="002C3786">
              <w:rPr>
                <w:rFonts w:eastAsia="Arial"/>
                <w:b/>
                <w:bCs/>
                <w:sz w:val="20"/>
                <w:szCs w:val="20"/>
              </w:rPr>
              <w:t>Monitoring Criteria, if desired:</w:t>
            </w:r>
          </w:p>
          <w:bookmarkEnd w:id="0"/>
          <w:p w14:paraId="5306A151" w14:textId="7CA5B8CF" w:rsidR="00097B95" w:rsidRPr="002C3786" w:rsidRDefault="002C3786" w:rsidP="002C3786">
            <w:pPr>
              <w:pStyle w:val="ListParagraph"/>
              <w:numPr>
                <w:ilvl w:val="0"/>
                <w:numId w:val="50"/>
              </w:numPr>
              <w:rPr>
                <w:rFonts w:eastAsia="Arial"/>
                <w:sz w:val="20"/>
                <w:szCs w:val="20"/>
              </w:rPr>
            </w:pPr>
            <w:r w:rsidRPr="002C3786">
              <w:rPr>
                <w:rFonts w:ascii="Arial" w:eastAsia="Arial" w:hAnsi="Arial" w:cs="Arial"/>
                <w:sz w:val="20"/>
                <w:szCs w:val="20"/>
              </w:rPr>
              <w:t>Participant (female</w:t>
            </w:r>
            <w:r w:rsidR="00740A28">
              <w:rPr>
                <w:rFonts w:ascii="Arial" w:eastAsia="Arial" w:hAnsi="Arial" w:cs="Arial"/>
                <w:sz w:val="20"/>
                <w:szCs w:val="20"/>
              </w:rPr>
              <w:t>s of childbearing potential</w:t>
            </w:r>
            <w:r w:rsidRPr="002C3786">
              <w:rPr>
                <w:rFonts w:ascii="Arial" w:eastAsia="Arial" w:hAnsi="Arial" w:cs="Arial"/>
                <w:sz w:val="20"/>
                <w:szCs w:val="20"/>
              </w:rPr>
              <w:t>) is utilizing concurrent birth control methods</w:t>
            </w:r>
          </w:p>
        </w:tc>
      </w:tr>
      <w:tr w:rsidR="00A43F23" w:rsidRPr="00DD7B75" w14:paraId="5E456727" w14:textId="77777777" w:rsidTr="151A7E19">
        <w:trPr>
          <w:trHeight w:val="1313"/>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5544D50F" w14:textId="308C51B1" w:rsidR="00A43F23" w:rsidRPr="00DD7B75" w:rsidRDefault="00DF6FE3" w:rsidP="00DD7B75">
            <w:pPr>
              <w:tabs>
                <w:tab w:val="left" w:pos="2400"/>
              </w:tabs>
              <w:suppressAutoHyphens/>
              <w:spacing w:before="60" w:after="60" w:line="220" w:lineRule="exact"/>
              <w:rPr>
                <w:b/>
                <w:bCs/>
                <w:color w:val="FFFFFF"/>
                <w:sz w:val="20"/>
                <w:szCs w:val="20"/>
              </w:rPr>
            </w:pPr>
            <w:r>
              <w:rPr>
                <w:b/>
                <w:bCs/>
                <w:color w:val="FFFFFF"/>
                <w:sz w:val="20"/>
                <w:szCs w:val="20"/>
              </w:rPr>
              <w:lastRenderedPageBreak/>
              <w:t>Implication to State Medicaid Program:</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tcPr>
          <w:p w14:paraId="716B2C66" w14:textId="77777777" w:rsidR="00476403" w:rsidRDefault="00C04C5C" w:rsidP="00C04C5C">
            <w:pPr>
              <w:pStyle w:val="NoSpacing"/>
              <w:numPr>
                <w:ilvl w:val="0"/>
                <w:numId w:val="50"/>
              </w:numPr>
              <w:rPr>
                <w:rFonts w:eastAsia="Arial"/>
                <w:sz w:val="20"/>
                <w:szCs w:val="20"/>
              </w:rPr>
            </w:pPr>
            <w:r>
              <w:rPr>
                <w:rFonts w:eastAsia="Arial"/>
                <w:sz w:val="20"/>
                <w:szCs w:val="20"/>
              </w:rPr>
              <w:t>LOE: 2037</w:t>
            </w:r>
          </w:p>
          <w:p w14:paraId="7827348D" w14:textId="77B0628D" w:rsidR="00792574" w:rsidRDefault="00792574" w:rsidP="00C04C5C">
            <w:pPr>
              <w:pStyle w:val="NoSpacing"/>
              <w:numPr>
                <w:ilvl w:val="0"/>
                <w:numId w:val="50"/>
              </w:numPr>
              <w:rPr>
                <w:rFonts w:eastAsia="Arial"/>
                <w:sz w:val="20"/>
                <w:szCs w:val="20"/>
              </w:rPr>
            </w:pPr>
            <w:proofErr w:type="spellStart"/>
            <w:r>
              <w:rPr>
                <w:rFonts w:eastAsia="Arial"/>
                <w:sz w:val="20"/>
                <w:szCs w:val="20"/>
              </w:rPr>
              <w:t>Debcoemagene</w:t>
            </w:r>
            <w:proofErr w:type="spellEnd"/>
            <w:r>
              <w:rPr>
                <w:rFonts w:eastAsia="Arial"/>
                <w:sz w:val="20"/>
                <w:szCs w:val="20"/>
              </w:rPr>
              <w:t xml:space="preserve"> </w:t>
            </w:r>
            <w:proofErr w:type="spellStart"/>
            <w:r>
              <w:rPr>
                <w:rFonts w:eastAsia="Arial"/>
                <w:sz w:val="20"/>
                <w:szCs w:val="20"/>
              </w:rPr>
              <w:t>autoficel</w:t>
            </w:r>
            <w:proofErr w:type="spellEnd"/>
            <w:r>
              <w:rPr>
                <w:rFonts w:eastAsia="Arial"/>
                <w:sz w:val="20"/>
                <w:szCs w:val="20"/>
              </w:rPr>
              <w:t xml:space="preserve"> </w:t>
            </w:r>
            <w:r w:rsidR="007A5F8E">
              <w:rPr>
                <w:rFonts w:eastAsia="Arial"/>
                <w:sz w:val="20"/>
                <w:szCs w:val="20"/>
              </w:rPr>
              <w:t xml:space="preserve">(D-Fi) </w:t>
            </w:r>
            <w:r>
              <w:rPr>
                <w:rFonts w:eastAsia="Arial"/>
                <w:sz w:val="20"/>
                <w:szCs w:val="20"/>
              </w:rPr>
              <w:t>(Castle Creek Biosciences)</w:t>
            </w:r>
          </w:p>
          <w:p w14:paraId="1E293000" w14:textId="59F3BDFF" w:rsidR="00792574" w:rsidRDefault="007A5F8E" w:rsidP="00792574">
            <w:pPr>
              <w:pStyle w:val="NoSpacing"/>
              <w:numPr>
                <w:ilvl w:val="1"/>
                <w:numId w:val="50"/>
              </w:numPr>
              <w:rPr>
                <w:rFonts w:eastAsia="Arial"/>
                <w:sz w:val="20"/>
                <w:szCs w:val="20"/>
              </w:rPr>
            </w:pPr>
            <w:r>
              <w:rPr>
                <w:rFonts w:eastAsia="Arial"/>
                <w:sz w:val="20"/>
                <w:szCs w:val="20"/>
              </w:rPr>
              <w:t xml:space="preserve">Locally injected gene therapy which was granted Orphan Drug, Rare Pediatric Disease, and Regenerative Medicine Advanced Therapy designations by the FDA. </w:t>
            </w:r>
          </w:p>
          <w:p w14:paraId="53F01C6B" w14:textId="7E91AF68" w:rsidR="007A5F8E" w:rsidRDefault="007A5F8E" w:rsidP="00792574">
            <w:pPr>
              <w:pStyle w:val="NoSpacing"/>
              <w:numPr>
                <w:ilvl w:val="1"/>
                <w:numId w:val="50"/>
              </w:numPr>
              <w:rPr>
                <w:rFonts w:eastAsia="Arial"/>
                <w:sz w:val="20"/>
                <w:szCs w:val="20"/>
              </w:rPr>
            </w:pPr>
            <w:r>
              <w:rPr>
                <w:rFonts w:eastAsia="Arial"/>
                <w:sz w:val="20"/>
                <w:szCs w:val="20"/>
              </w:rPr>
              <w:t xml:space="preserve">D-Fi is made up of autologously derived dermal fibroblasts genetically modified to contain the </w:t>
            </w:r>
            <w:r w:rsidRPr="007A5F8E">
              <w:rPr>
                <w:rFonts w:eastAsia="Arial"/>
                <w:i/>
                <w:iCs/>
                <w:sz w:val="20"/>
                <w:szCs w:val="20"/>
              </w:rPr>
              <w:t>COL7A1</w:t>
            </w:r>
            <w:r>
              <w:rPr>
                <w:rFonts w:eastAsia="Arial"/>
                <w:sz w:val="20"/>
                <w:szCs w:val="20"/>
              </w:rPr>
              <w:t xml:space="preserve"> gene and is administered locally via intradermal injection </w:t>
            </w:r>
            <w:r w:rsidR="00740A28">
              <w:rPr>
                <w:rFonts w:eastAsia="Arial"/>
                <w:sz w:val="20"/>
                <w:szCs w:val="20"/>
              </w:rPr>
              <w:t>in</w:t>
            </w:r>
            <w:r>
              <w:rPr>
                <w:rFonts w:eastAsia="Arial"/>
                <w:sz w:val="20"/>
                <w:szCs w:val="20"/>
              </w:rPr>
              <w:t xml:space="preserve">to wound sites. </w:t>
            </w:r>
          </w:p>
          <w:p w14:paraId="661B741E" w14:textId="396957A3" w:rsidR="007A003A" w:rsidRDefault="007A5F8E" w:rsidP="007A003A">
            <w:pPr>
              <w:pStyle w:val="NoSpacing"/>
              <w:numPr>
                <w:ilvl w:val="1"/>
                <w:numId w:val="50"/>
              </w:numPr>
              <w:rPr>
                <w:rFonts w:eastAsia="Arial"/>
                <w:sz w:val="20"/>
                <w:szCs w:val="20"/>
              </w:rPr>
            </w:pPr>
            <w:r>
              <w:rPr>
                <w:rFonts w:eastAsia="Arial"/>
                <w:sz w:val="20"/>
                <w:szCs w:val="20"/>
              </w:rPr>
              <w:t>DEFI-RDEB (NCT04213261)</w:t>
            </w:r>
            <w:r w:rsidR="007A003A">
              <w:rPr>
                <w:rFonts w:eastAsia="Arial"/>
                <w:sz w:val="20"/>
                <w:szCs w:val="20"/>
              </w:rPr>
              <w:t xml:space="preserve">: ongoing Phase III randomized, open-label, intra-patient, controlled study in patients 2 years of age and older. </w:t>
            </w:r>
          </w:p>
          <w:p w14:paraId="4BC24901" w14:textId="32E9160D" w:rsidR="007A003A" w:rsidRDefault="007A003A" w:rsidP="007A003A">
            <w:pPr>
              <w:pStyle w:val="NoSpacing"/>
              <w:numPr>
                <w:ilvl w:val="2"/>
                <w:numId w:val="50"/>
              </w:numPr>
              <w:rPr>
                <w:rFonts w:eastAsia="Arial"/>
                <w:sz w:val="20"/>
                <w:szCs w:val="20"/>
              </w:rPr>
            </w:pPr>
            <w:r>
              <w:rPr>
                <w:rFonts w:eastAsia="Arial"/>
                <w:sz w:val="20"/>
                <w:szCs w:val="20"/>
              </w:rPr>
              <w:t>Primary outcome measure is complete wound closure of the first woun</w:t>
            </w:r>
            <w:r w:rsidR="00740A28">
              <w:rPr>
                <w:rFonts w:eastAsia="Arial"/>
                <w:sz w:val="20"/>
                <w:szCs w:val="20"/>
              </w:rPr>
              <w:t>d</w:t>
            </w:r>
            <w:r>
              <w:rPr>
                <w:rFonts w:eastAsia="Arial"/>
                <w:sz w:val="20"/>
                <w:szCs w:val="20"/>
              </w:rPr>
              <w:t xml:space="preserve"> pair at Week 24. Study participants have up to three target wound pairs with 1 wound in each pair randomly assigned as the treatment wound while the other is left untreated as a control. </w:t>
            </w:r>
          </w:p>
          <w:p w14:paraId="4B6B4BC1" w14:textId="35A6C8D1" w:rsidR="007A003A" w:rsidRDefault="007A003A" w:rsidP="007A003A">
            <w:pPr>
              <w:pStyle w:val="NoSpacing"/>
              <w:numPr>
                <w:ilvl w:val="1"/>
                <w:numId w:val="50"/>
              </w:numPr>
              <w:rPr>
                <w:rFonts w:eastAsia="Arial"/>
                <w:sz w:val="20"/>
                <w:szCs w:val="20"/>
              </w:rPr>
            </w:pPr>
            <w:r>
              <w:rPr>
                <w:rFonts w:eastAsia="Arial"/>
                <w:sz w:val="20"/>
                <w:szCs w:val="20"/>
              </w:rPr>
              <w:t xml:space="preserve">D-Fi is administered locally via intradermal injection with 12 weeks between treatments. </w:t>
            </w:r>
          </w:p>
          <w:p w14:paraId="11286430" w14:textId="3261954D" w:rsidR="007A003A" w:rsidRPr="007A003A" w:rsidRDefault="007A003A" w:rsidP="007A003A">
            <w:pPr>
              <w:pStyle w:val="NoSpacing"/>
              <w:numPr>
                <w:ilvl w:val="1"/>
                <w:numId w:val="50"/>
              </w:numPr>
              <w:rPr>
                <w:rFonts w:eastAsia="Arial"/>
                <w:sz w:val="20"/>
                <w:szCs w:val="20"/>
              </w:rPr>
            </w:pPr>
            <w:r>
              <w:rPr>
                <w:rFonts w:eastAsia="Arial"/>
                <w:sz w:val="20"/>
                <w:szCs w:val="20"/>
              </w:rPr>
              <w:t xml:space="preserve">Phase I/II trials showed positive results with 80% </w:t>
            </w:r>
            <w:r w:rsidR="00740A28">
              <w:rPr>
                <w:rFonts w:eastAsia="Arial"/>
                <w:sz w:val="20"/>
                <w:szCs w:val="20"/>
              </w:rPr>
              <w:t xml:space="preserve">of </w:t>
            </w:r>
            <w:r>
              <w:rPr>
                <w:rFonts w:eastAsia="Arial"/>
                <w:sz w:val="20"/>
                <w:szCs w:val="20"/>
              </w:rPr>
              <w:t xml:space="preserve">wounds closed completely compared to 0% in the untreated group. </w:t>
            </w:r>
          </w:p>
          <w:p w14:paraId="3A7355B4" w14:textId="77777777" w:rsidR="00792574" w:rsidRDefault="00792574" w:rsidP="00C04C5C">
            <w:pPr>
              <w:pStyle w:val="NoSpacing"/>
              <w:numPr>
                <w:ilvl w:val="0"/>
                <w:numId w:val="50"/>
              </w:numPr>
              <w:rPr>
                <w:rFonts w:eastAsia="Arial"/>
                <w:sz w:val="20"/>
                <w:szCs w:val="20"/>
              </w:rPr>
            </w:pPr>
            <w:r>
              <w:rPr>
                <w:rFonts w:eastAsia="Arial"/>
                <w:sz w:val="20"/>
                <w:szCs w:val="20"/>
              </w:rPr>
              <w:t>EB-101 (Abeona Therapeutics)</w:t>
            </w:r>
          </w:p>
          <w:p w14:paraId="7FFC9159" w14:textId="64A9706E" w:rsidR="007A003A" w:rsidRDefault="007A003A" w:rsidP="007A003A">
            <w:pPr>
              <w:pStyle w:val="NoSpacing"/>
              <w:numPr>
                <w:ilvl w:val="1"/>
                <w:numId w:val="50"/>
              </w:numPr>
              <w:rPr>
                <w:rFonts w:eastAsia="Arial"/>
                <w:sz w:val="20"/>
                <w:szCs w:val="20"/>
              </w:rPr>
            </w:pPr>
            <w:r>
              <w:rPr>
                <w:rFonts w:eastAsia="Arial"/>
                <w:sz w:val="20"/>
                <w:szCs w:val="20"/>
              </w:rPr>
              <w:t>Autologous cell therapy which received Orphan Drug, Rare Pediatric Dis</w:t>
            </w:r>
            <w:r w:rsidR="00740A28">
              <w:rPr>
                <w:rFonts w:eastAsia="Arial"/>
                <w:sz w:val="20"/>
                <w:szCs w:val="20"/>
              </w:rPr>
              <w:t>e</w:t>
            </w:r>
            <w:r>
              <w:rPr>
                <w:rFonts w:eastAsia="Arial"/>
                <w:sz w:val="20"/>
                <w:szCs w:val="20"/>
              </w:rPr>
              <w:t xml:space="preserve">ase, and Regenerative Medicine Advanced Therapy designations by the FDA. </w:t>
            </w:r>
          </w:p>
          <w:p w14:paraId="13F3B27E" w14:textId="0F51034D" w:rsidR="007A003A" w:rsidRDefault="007A003A" w:rsidP="007A003A">
            <w:pPr>
              <w:pStyle w:val="NoSpacing"/>
              <w:numPr>
                <w:ilvl w:val="1"/>
                <w:numId w:val="50"/>
              </w:numPr>
              <w:rPr>
                <w:rFonts w:eastAsia="Arial"/>
                <w:sz w:val="20"/>
                <w:szCs w:val="20"/>
              </w:rPr>
            </w:pPr>
            <w:r>
              <w:rPr>
                <w:rFonts w:eastAsia="Arial"/>
                <w:sz w:val="20"/>
                <w:szCs w:val="20"/>
              </w:rPr>
              <w:t xml:space="preserve">Manufactured using patient’s own skin cells which are gene-corrected with functional </w:t>
            </w:r>
            <w:r w:rsidRPr="007A003A">
              <w:rPr>
                <w:rFonts w:eastAsia="Arial"/>
                <w:i/>
                <w:iCs/>
                <w:sz w:val="20"/>
                <w:szCs w:val="20"/>
              </w:rPr>
              <w:t>COL7A1</w:t>
            </w:r>
            <w:r>
              <w:rPr>
                <w:rFonts w:eastAsia="Arial"/>
                <w:sz w:val="20"/>
                <w:szCs w:val="20"/>
              </w:rPr>
              <w:t xml:space="preserve"> genes using adeno-associated virus vector. Corrected cells are then transplanted onto the patient’s wounds. </w:t>
            </w:r>
          </w:p>
          <w:p w14:paraId="1FA147E2" w14:textId="4537FDAA" w:rsidR="007A003A" w:rsidRDefault="007A003A" w:rsidP="007A003A">
            <w:pPr>
              <w:pStyle w:val="NoSpacing"/>
              <w:numPr>
                <w:ilvl w:val="1"/>
                <w:numId w:val="50"/>
              </w:numPr>
              <w:rPr>
                <w:rFonts w:eastAsia="Arial"/>
                <w:sz w:val="20"/>
                <w:szCs w:val="20"/>
              </w:rPr>
            </w:pPr>
            <w:r>
              <w:rPr>
                <w:rFonts w:eastAsia="Arial"/>
                <w:sz w:val="20"/>
                <w:szCs w:val="20"/>
              </w:rPr>
              <w:t>Phase III VITAL trial (NCT04227106)</w:t>
            </w:r>
            <w:r w:rsidR="00380933">
              <w:rPr>
                <w:rFonts w:eastAsia="Arial"/>
                <w:sz w:val="20"/>
                <w:szCs w:val="20"/>
              </w:rPr>
              <w:t xml:space="preserve"> studying patients 6 years of age and older. </w:t>
            </w:r>
          </w:p>
          <w:p w14:paraId="1AD5A31C" w14:textId="534B1469" w:rsidR="00380933" w:rsidRDefault="00380933" w:rsidP="00380933">
            <w:pPr>
              <w:pStyle w:val="NoSpacing"/>
              <w:numPr>
                <w:ilvl w:val="2"/>
                <w:numId w:val="50"/>
              </w:numPr>
              <w:rPr>
                <w:rFonts w:eastAsia="Arial"/>
                <w:sz w:val="20"/>
                <w:szCs w:val="20"/>
              </w:rPr>
            </w:pPr>
            <w:r>
              <w:rPr>
                <w:rFonts w:eastAsia="Arial"/>
                <w:sz w:val="20"/>
                <w:szCs w:val="20"/>
              </w:rPr>
              <w:t xml:space="preserve">Co-primary endpoints are proportion of RDEB wound sites with </w:t>
            </w:r>
            <w:r>
              <w:rPr>
                <w:rFonts w:eastAsia="Arial"/>
                <w:sz w:val="20"/>
                <w:szCs w:val="20"/>
              </w:rPr>
              <w:sym w:font="Symbol" w:char="F0B3"/>
            </w:r>
            <w:r w:rsidR="00740A28">
              <w:rPr>
                <w:rFonts w:eastAsia="Arial"/>
                <w:sz w:val="20"/>
                <w:szCs w:val="20"/>
              </w:rPr>
              <w:t xml:space="preserve"> </w:t>
            </w:r>
            <w:r>
              <w:rPr>
                <w:rFonts w:eastAsia="Arial"/>
                <w:sz w:val="20"/>
                <w:szCs w:val="20"/>
              </w:rPr>
              <w:t xml:space="preserve">50% wound healing compared to baseline at Week 24 and pain reduction associated with wound dressing change between treated and untreated wounds at Week 24. </w:t>
            </w:r>
          </w:p>
          <w:p w14:paraId="22E25761" w14:textId="6D74CB59" w:rsidR="00380933" w:rsidRDefault="00380933" w:rsidP="007A003A">
            <w:pPr>
              <w:pStyle w:val="NoSpacing"/>
              <w:numPr>
                <w:ilvl w:val="1"/>
                <w:numId w:val="50"/>
              </w:numPr>
              <w:rPr>
                <w:rFonts w:eastAsia="Arial"/>
                <w:sz w:val="20"/>
                <w:szCs w:val="20"/>
              </w:rPr>
            </w:pPr>
            <w:r>
              <w:rPr>
                <w:rFonts w:eastAsia="Arial"/>
                <w:sz w:val="20"/>
                <w:szCs w:val="20"/>
              </w:rPr>
              <w:t xml:space="preserve">Phase I/II trial resulted in efficacious wound healing with up to 5 years of follow-up. </w:t>
            </w:r>
          </w:p>
          <w:p w14:paraId="0E0FC136" w14:textId="77777777" w:rsidR="00792574" w:rsidRDefault="00792574" w:rsidP="00792574">
            <w:pPr>
              <w:pStyle w:val="NoSpacing"/>
              <w:numPr>
                <w:ilvl w:val="0"/>
                <w:numId w:val="50"/>
              </w:numPr>
              <w:rPr>
                <w:rFonts w:eastAsia="Arial"/>
                <w:sz w:val="20"/>
                <w:szCs w:val="20"/>
              </w:rPr>
            </w:pPr>
            <w:proofErr w:type="spellStart"/>
            <w:r>
              <w:rPr>
                <w:rFonts w:eastAsia="Arial"/>
                <w:sz w:val="20"/>
                <w:szCs w:val="20"/>
              </w:rPr>
              <w:t>Filsuvez</w:t>
            </w:r>
            <w:proofErr w:type="spellEnd"/>
            <w:r>
              <w:rPr>
                <w:rFonts w:eastAsia="Arial"/>
                <w:sz w:val="20"/>
                <w:szCs w:val="20"/>
                <w:vertAlign w:val="superscript"/>
              </w:rPr>
              <w:t>®</w:t>
            </w:r>
            <w:r>
              <w:rPr>
                <w:rFonts w:eastAsia="Arial"/>
                <w:sz w:val="20"/>
                <w:szCs w:val="20"/>
              </w:rPr>
              <w:t xml:space="preserve"> (</w:t>
            </w:r>
            <w:proofErr w:type="spellStart"/>
            <w:r>
              <w:rPr>
                <w:rFonts w:eastAsia="Arial"/>
                <w:sz w:val="20"/>
                <w:szCs w:val="20"/>
              </w:rPr>
              <w:t>Amryt</w:t>
            </w:r>
            <w:proofErr w:type="spellEnd"/>
            <w:r>
              <w:rPr>
                <w:rFonts w:eastAsia="Arial"/>
                <w:sz w:val="20"/>
                <w:szCs w:val="20"/>
              </w:rPr>
              <w:t xml:space="preserve"> Pharma)</w:t>
            </w:r>
          </w:p>
          <w:p w14:paraId="4B6FB05E" w14:textId="77777777" w:rsidR="00792574" w:rsidRDefault="00792574" w:rsidP="00792574">
            <w:pPr>
              <w:pStyle w:val="NoSpacing"/>
              <w:numPr>
                <w:ilvl w:val="1"/>
                <w:numId w:val="50"/>
              </w:numPr>
              <w:rPr>
                <w:rFonts w:eastAsia="Arial"/>
                <w:sz w:val="20"/>
                <w:szCs w:val="20"/>
              </w:rPr>
            </w:pPr>
            <w:r>
              <w:rPr>
                <w:rFonts w:eastAsia="Arial"/>
                <w:sz w:val="20"/>
                <w:szCs w:val="20"/>
              </w:rPr>
              <w:t xml:space="preserve">Topical gel in development that has been granted Orphan Drug and Rare Pediatric Disease designations by the FDA. Contains 90% sunflower oil and 10% dry birch bark extract. Birch bark extract is mostly comprised of a compound called </w:t>
            </w:r>
            <w:proofErr w:type="spellStart"/>
            <w:r>
              <w:rPr>
                <w:rFonts w:eastAsia="Arial"/>
                <w:sz w:val="20"/>
                <w:szCs w:val="20"/>
              </w:rPr>
              <w:t>betulin</w:t>
            </w:r>
            <w:proofErr w:type="spellEnd"/>
            <w:r>
              <w:rPr>
                <w:rFonts w:eastAsia="Arial"/>
                <w:sz w:val="20"/>
                <w:szCs w:val="20"/>
              </w:rPr>
              <w:t xml:space="preserve"> which is the main active ingredient in </w:t>
            </w:r>
            <w:proofErr w:type="spellStart"/>
            <w:r>
              <w:rPr>
                <w:rFonts w:eastAsia="Arial"/>
                <w:sz w:val="20"/>
                <w:szCs w:val="20"/>
              </w:rPr>
              <w:t>Filsuvez</w:t>
            </w:r>
            <w:proofErr w:type="spellEnd"/>
            <w:r>
              <w:rPr>
                <w:rFonts w:eastAsia="Arial"/>
                <w:sz w:val="20"/>
                <w:szCs w:val="20"/>
              </w:rPr>
              <w:t xml:space="preserve">. </w:t>
            </w:r>
          </w:p>
          <w:p w14:paraId="77B2525F" w14:textId="77777777" w:rsidR="007A5F8E" w:rsidRDefault="00792574" w:rsidP="007A5F8E">
            <w:pPr>
              <w:pStyle w:val="NoSpacing"/>
              <w:numPr>
                <w:ilvl w:val="1"/>
                <w:numId w:val="50"/>
              </w:numPr>
              <w:rPr>
                <w:rFonts w:eastAsia="Arial"/>
                <w:sz w:val="20"/>
                <w:szCs w:val="20"/>
              </w:rPr>
            </w:pPr>
            <w:r>
              <w:rPr>
                <w:rFonts w:eastAsia="Arial"/>
                <w:sz w:val="20"/>
                <w:szCs w:val="20"/>
              </w:rPr>
              <w:t>Phase III EASE trial (NCT</w:t>
            </w:r>
            <w:r w:rsidR="007A5F8E">
              <w:rPr>
                <w:rFonts w:eastAsia="Arial"/>
                <w:sz w:val="20"/>
                <w:szCs w:val="20"/>
              </w:rPr>
              <w:t xml:space="preserve">03068780) included patients aged 21 days and older with EB </w:t>
            </w:r>
            <w:proofErr w:type="gramStart"/>
            <w:r w:rsidR="007A5F8E">
              <w:rPr>
                <w:rFonts w:eastAsia="Arial"/>
                <w:sz w:val="20"/>
                <w:szCs w:val="20"/>
              </w:rPr>
              <w:t>types</w:t>
            </w:r>
            <w:proofErr w:type="gramEnd"/>
            <w:r w:rsidR="007A5F8E">
              <w:rPr>
                <w:rFonts w:eastAsia="Arial"/>
                <w:sz w:val="20"/>
                <w:szCs w:val="20"/>
              </w:rPr>
              <w:t xml:space="preserve"> JEB, DEB, and KEB and was comprised of 223 subjects. </w:t>
            </w:r>
          </w:p>
          <w:p w14:paraId="2C77129F" w14:textId="211D3A5F" w:rsidR="007A5F8E" w:rsidRDefault="007A5F8E" w:rsidP="007A003A">
            <w:pPr>
              <w:pStyle w:val="NoSpacing"/>
              <w:numPr>
                <w:ilvl w:val="2"/>
                <w:numId w:val="50"/>
              </w:numPr>
              <w:rPr>
                <w:rFonts w:eastAsia="Arial"/>
                <w:sz w:val="20"/>
                <w:szCs w:val="20"/>
              </w:rPr>
            </w:pPr>
            <w:r>
              <w:rPr>
                <w:rFonts w:eastAsia="Arial"/>
                <w:sz w:val="20"/>
                <w:szCs w:val="20"/>
              </w:rPr>
              <w:t xml:space="preserve">Primary outcome measure was proportion of patients with first complete closure of target wound within 45 days of treatment. The </w:t>
            </w:r>
            <w:proofErr w:type="spellStart"/>
            <w:r>
              <w:rPr>
                <w:rFonts w:eastAsia="Arial"/>
                <w:sz w:val="20"/>
                <w:szCs w:val="20"/>
              </w:rPr>
              <w:t>Filsuvez</w:t>
            </w:r>
            <w:proofErr w:type="spellEnd"/>
            <w:r>
              <w:rPr>
                <w:rFonts w:eastAsia="Arial"/>
                <w:sz w:val="20"/>
                <w:szCs w:val="20"/>
              </w:rPr>
              <w:t xml:space="preserve"> group saw 41.3% of patients achieving the primary endpoint while 28.9% of patients in the placebo group achiev</w:t>
            </w:r>
            <w:r w:rsidR="00740A28">
              <w:rPr>
                <w:rFonts w:eastAsia="Arial"/>
                <w:sz w:val="20"/>
                <w:szCs w:val="20"/>
              </w:rPr>
              <w:t xml:space="preserve">ed </w:t>
            </w:r>
            <w:r>
              <w:rPr>
                <w:rFonts w:eastAsia="Arial"/>
                <w:sz w:val="20"/>
                <w:szCs w:val="20"/>
              </w:rPr>
              <w:t xml:space="preserve">the primary endpoint. </w:t>
            </w:r>
          </w:p>
          <w:p w14:paraId="4CAE8587" w14:textId="441A5445" w:rsidR="007A5F8E" w:rsidRPr="007A5F8E" w:rsidRDefault="007A5F8E" w:rsidP="007A5F8E">
            <w:pPr>
              <w:pStyle w:val="NoSpacing"/>
              <w:numPr>
                <w:ilvl w:val="1"/>
                <w:numId w:val="50"/>
              </w:numPr>
              <w:rPr>
                <w:rFonts w:eastAsia="Arial"/>
                <w:sz w:val="20"/>
                <w:szCs w:val="20"/>
              </w:rPr>
            </w:pPr>
            <w:r>
              <w:rPr>
                <w:rFonts w:eastAsia="Arial"/>
                <w:sz w:val="20"/>
                <w:szCs w:val="20"/>
              </w:rPr>
              <w:t xml:space="preserve">Abeona Therapeutics received a CRL letter from the FDA in February 2022 indicating it needed additional confirmatory evidence of effectiveness. </w:t>
            </w:r>
            <w:proofErr w:type="spellStart"/>
            <w:r>
              <w:rPr>
                <w:rFonts w:eastAsia="Arial"/>
                <w:sz w:val="20"/>
                <w:szCs w:val="20"/>
              </w:rPr>
              <w:t>Filsuvez</w:t>
            </w:r>
            <w:proofErr w:type="spellEnd"/>
            <w:r>
              <w:rPr>
                <w:rFonts w:eastAsia="Arial"/>
                <w:sz w:val="20"/>
                <w:szCs w:val="20"/>
              </w:rPr>
              <w:t xml:space="preserve"> was approved in Europe in June 2022. </w:t>
            </w:r>
          </w:p>
        </w:tc>
      </w:tr>
    </w:tbl>
    <w:p w14:paraId="558A3C48" w14:textId="77777777" w:rsidR="00790B4B" w:rsidRDefault="00790B4B" w:rsidP="00B43216">
      <w:pPr>
        <w:rPr>
          <w:b/>
          <w:sz w:val="18"/>
          <w:szCs w:val="18"/>
          <w:u w:val="single"/>
        </w:rPr>
      </w:pPr>
    </w:p>
    <w:p w14:paraId="5DB6D449" w14:textId="453D2264" w:rsidR="00BE477F" w:rsidRPr="002C3786" w:rsidRDefault="00DD7B75" w:rsidP="00BE477F">
      <w:pPr>
        <w:rPr>
          <w:b/>
          <w:sz w:val="18"/>
          <w:szCs w:val="18"/>
          <w:u w:val="single"/>
        </w:rPr>
      </w:pPr>
      <w:r w:rsidRPr="00386897">
        <w:rPr>
          <w:b/>
          <w:sz w:val="18"/>
          <w:szCs w:val="18"/>
          <w:u w:val="single"/>
        </w:rPr>
        <w:t>Referen</w:t>
      </w:r>
      <w:r w:rsidRPr="002C3786">
        <w:rPr>
          <w:b/>
          <w:sz w:val="18"/>
          <w:szCs w:val="18"/>
          <w:u w:val="single"/>
        </w:rPr>
        <w:t>ces:</w:t>
      </w:r>
    </w:p>
    <w:p w14:paraId="35678649" w14:textId="172E3D5D" w:rsidR="00BE477F" w:rsidRPr="00784BA2" w:rsidRDefault="002C3786" w:rsidP="00BE477F">
      <w:pPr>
        <w:pStyle w:val="ListParagraph"/>
        <w:numPr>
          <w:ilvl w:val="0"/>
          <w:numId w:val="49"/>
        </w:numPr>
        <w:rPr>
          <w:rFonts w:ascii="Arial" w:hAnsi="Arial" w:cs="Arial"/>
          <w:bCs/>
          <w:sz w:val="18"/>
          <w:szCs w:val="18"/>
        </w:rPr>
      </w:pPr>
      <w:proofErr w:type="spellStart"/>
      <w:r w:rsidRPr="00784BA2">
        <w:rPr>
          <w:rFonts w:ascii="Arial" w:hAnsi="Arial" w:cs="Arial"/>
          <w:bCs/>
          <w:sz w:val="18"/>
          <w:szCs w:val="18"/>
        </w:rPr>
        <w:t>Vyjuvek</w:t>
      </w:r>
      <w:proofErr w:type="spellEnd"/>
      <w:r w:rsidRPr="00784BA2">
        <w:rPr>
          <w:rFonts w:ascii="Arial" w:hAnsi="Arial" w:cs="Arial"/>
          <w:bCs/>
          <w:sz w:val="18"/>
          <w:szCs w:val="18"/>
        </w:rPr>
        <w:t>™ (</w:t>
      </w:r>
      <w:proofErr w:type="spellStart"/>
      <w:r w:rsidRPr="00784BA2">
        <w:rPr>
          <w:rFonts w:ascii="Arial" w:hAnsi="Arial" w:cs="Arial"/>
          <w:bCs/>
          <w:sz w:val="18"/>
          <w:szCs w:val="18"/>
        </w:rPr>
        <w:t>beremagene</w:t>
      </w:r>
      <w:proofErr w:type="spellEnd"/>
      <w:r w:rsidRPr="00784BA2">
        <w:rPr>
          <w:rFonts w:ascii="Arial" w:hAnsi="Arial" w:cs="Arial"/>
          <w:bCs/>
          <w:sz w:val="18"/>
          <w:szCs w:val="18"/>
        </w:rPr>
        <w:t xml:space="preserve"> </w:t>
      </w:r>
      <w:proofErr w:type="spellStart"/>
      <w:r w:rsidRPr="00784BA2">
        <w:rPr>
          <w:rFonts w:ascii="Arial" w:hAnsi="Arial" w:cs="Arial"/>
          <w:bCs/>
          <w:sz w:val="18"/>
          <w:szCs w:val="18"/>
        </w:rPr>
        <w:t>gperpavec-svdt</w:t>
      </w:r>
      <w:proofErr w:type="spellEnd"/>
      <w:r w:rsidRPr="00784BA2">
        <w:rPr>
          <w:rFonts w:ascii="Arial" w:hAnsi="Arial" w:cs="Arial"/>
          <w:bCs/>
          <w:sz w:val="18"/>
          <w:szCs w:val="18"/>
        </w:rPr>
        <w:t xml:space="preserve">) [package insert]. Pittsburgh, PA: Krystal Biotech, Inc.; May 2023. </w:t>
      </w:r>
    </w:p>
    <w:p w14:paraId="24F02B9E" w14:textId="0E55B04B" w:rsidR="00BE477F" w:rsidRPr="00784BA2" w:rsidRDefault="00F2623D" w:rsidP="00BE477F">
      <w:pPr>
        <w:pStyle w:val="ListParagraph"/>
        <w:numPr>
          <w:ilvl w:val="0"/>
          <w:numId w:val="49"/>
        </w:numPr>
        <w:rPr>
          <w:rFonts w:ascii="Arial" w:hAnsi="Arial" w:cs="Arial"/>
          <w:bCs/>
          <w:sz w:val="18"/>
          <w:szCs w:val="18"/>
        </w:rPr>
      </w:pPr>
      <w:r w:rsidRPr="00784BA2">
        <w:rPr>
          <w:rFonts w:ascii="Arial" w:hAnsi="Arial" w:cs="Arial"/>
          <w:bCs/>
          <w:sz w:val="18"/>
          <w:szCs w:val="18"/>
        </w:rPr>
        <w:t xml:space="preserve">NIH: U.S. National Library of Medicine. Ph 3 Efficacy and Safety of B-VEC for the Treatment of DEB (GEM-3). </w:t>
      </w:r>
      <w:hyperlink r:id="rId11" w:history="1">
        <w:r w:rsidRPr="00784BA2">
          <w:rPr>
            <w:rStyle w:val="Hyperlink"/>
            <w:rFonts w:ascii="Arial" w:hAnsi="Arial" w:cs="Arial"/>
            <w:bCs/>
            <w:sz w:val="18"/>
            <w:szCs w:val="18"/>
          </w:rPr>
          <w:t>https://clinicaltrials.gov/ct2/show/NCT04491604?term=beremagene&amp;draw=2&amp;rank=3</w:t>
        </w:r>
      </w:hyperlink>
      <w:r w:rsidRPr="00784BA2">
        <w:rPr>
          <w:rFonts w:ascii="Arial" w:hAnsi="Arial" w:cs="Arial"/>
          <w:bCs/>
          <w:sz w:val="18"/>
          <w:szCs w:val="18"/>
        </w:rPr>
        <w:t xml:space="preserve">. Accessed June 16, 2023. </w:t>
      </w:r>
    </w:p>
    <w:p w14:paraId="4EA0554D" w14:textId="48996BBB" w:rsidR="00F2623D" w:rsidRPr="00784BA2" w:rsidRDefault="00F2623D" w:rsidP="00BE477F">
      <w:pPr>
        <w:pStyle w:val="ListParagraph"/>
        <w:numPr>
          <w:ilvl w:val="0"/>
          <w:numId w:val="49"/>
        </w:numPr>
        <w:rPr>
          <w:rFonts w:ascii="Arial" w:hAnsi="Arial" w:cs="Arial"/>
          <w:bCs/>
          <w:sz w:val="18"/>
          <w:szCs w:val="18"/>
        </w:rPr>
      </w:pPr>
      <w:proofErr w:type="spellStart"/>
      <w:r w:rsidRPr="00784BA2">
        <w:rPr>
          <w:rFonts w:ascii="Arial" w:hAnsi="Arial" w:cs="Arial"/>
          <w:bCs/>
          <w:sz w:val="18"/>
          <w:szCs w:val="18"/>
        </w:rPr>
        <w:t>Laimer</w:t>
      </w:r>
      <w:proofErr w:type="spellEnd"/>
      <w:r w:rsidRPr="00784BA2">
        <w:rPr>
          <w:rFonts w:ascii="Arial" w:hAnsi="Arial" w:cs="Arial"/>
          <w:bCs/>
          <w:sz w:val="18"/>
          <w:szCs w:val="18"/>
        </w:rPr>
        <w:t xml:space="preserve"> M, Bauer J, Murrel D. Epidermolysis bullosa: Epidemiology, pathogenesis, classification, and clinical features. UpToDate. </w:t>
      </w:r>
      <w:hyperlink r:id="rId12" w:anchor="H61550613" w:history="1">
        <w:r w:rsidRPr="00784BA2">
          <w:rPr>
            <w:rStyle w:val="Hyperlink"/>
            <w:rFonts w:ascii="Arial" w:hAnsi="Arial" w:cs="Arial"/>
            <w:bCs/>
            <w:sz w:val="18"/>
            <w:szCs w:val="18"/>
          </w:rPr>
          <w:t>https://www.uptodate.com/contents/epidermolysis-bullosa-epidemiology-pathogenesis-classification-and-clinical-</w:t>
        </w:r>
        <w:r w:rsidRPr="00784BA2">
          <w:rPr>
            <w:rStyle w:val="Hyperlink"/>
            <w:rFonts w:ascii="Arial" w:hAnsi="Arial" w:cs="Arial"/>
            <w:bCs/>
            <w:sz w:val="18"/>
            <w:szCs w:val="18"/>
          </w:rPr>
          <w:lastRenderedPageBreak/>
          <w:t>features?search=dystrophic%20epidermolysis%20bullosa&amp;source=search_result&amp;selectedTitle=1~19&amp;usage_type=default&amp;display_rank=1#H61550613</w:t>
        </w:r>
      </w:hyperlink>
      <w:r w:rsidRPr="00784BA2">
        <w:rPr>
          <w:rFonts w:ascii="Arial" w:hAnsi="Arial" w:cs="Arial"/>
          <w:bCs/>
          <w:sz w:val="18"/>
          <w:szCs w:val="18"/>
        </w:rPr>
        <w:t xml:space="preserve">. Accessed June 16, 2023. </w:t>
      </w:r>
    </w:p>
    <w:p w14:paraId="3B777338" w14:textId="2A44C322" w:rsidR="00F2623D" w:rsidRPr="00784BA2" w:rsidRDefault="00F2623D" w:rsidP="00BE477F">
      <w:pPr>
        <w:pStyle w:val="ListParagraph"/>
        <w:numPr>
          <w:ilvl w:val="0"/>
          <w:numId w:val="49"/>
        </w:numPr>
        <w:rPr>
          <w:rFonts w:ascii="Arial" w:hAnsi="Arial" w:cs="Arial"/>
          <w:bCs/>
          <w:sz w:val="18"/>
          <w:szCs w:val="18"/>
        </w:rPr>
      </w:pPr>
      <w:r w:rsidRPr="00784BA2">
        <w:rPr>
          <w:rFonts w:ascii="Arial" w:hAnsi="Arial" w:cs="Arial"/>
          <w:bCs/>
          <w:sz w:val="18"/>
          <w:szCs w:val="18"/>
        </w:rPr>
        <w:t xml:space="preserve">Murrell D. Overview of the management of epidermolysis bullosa. UpToDate. </w:t>
      </w:r>
      <w:hyperlink r:id="rId13" w:anchor="H70257089" w:history="1">
        <w:r w:rsidRPr="00784BA2">
          <w:rPr>
            <w:rStyle w:val="Hyperlink"/>
            <w:rFonts w:ascii="Arial" w:hAnsi="Arial" w:cs="Arial"/>
            <w:bCs/>
            <w:sz w:val="18"/>
            <w:szCs w:val="18"/>
          </w:rPr>
          <w:t>https://www.uptodate.com/contents/overview-of-the-management-of-epidermolysis-bullosa?search=dystrophic%20epidermolysis%20bullosa&amp;topicRef=15449&amp;source=see_link#H70257089</w:t>
        </w:r>
      </w:hyperlink>
      <w:r w:rsidRPr="00784BA2">
        <w:rPr>
          <w:rFonts w:ascii="Arial" w:hAnsi="Arial" w:cs="Arial"/>
          <w:bCs/>
          <w:sz w:val="18"/>
          <w:szCs w:val="18"/>
        </w:rPr>
        <w:t xml:space="preserve">. Accessed June 16, 2023. </w:t>
      </w:r>
    </w:p>
    <w:p w14:paraId="0809960D" w14:textId="4B4EEF09" w:rsidR="00F2623D" w:rsidRPr="00784BA2" w:rsidRDefault="00F2623D" w:rsidP="00BE477F">
      <w:pPr>
        <w:pStyle w:val="ListParagraph"/>
        <w:numPr>
          <w:ilvl w:val="0"/>
          <w:numId w:val="49"/>
        </w:numPr>
        <w:rPr>
          <w:rFonts w:ascii="Arial" w:hAnsi="Arial" w:cs="Arial"/>
          <w:bCs/>
          <w:sz w:val="18"/>
          <w:szCs w:val="18"/>
        </w:rPr>
      </w:pPr>
      <w:r w:rsidRPr="00784BA2">
        <w:rPr>
          <w:rFonts w:ascii="Arial" w:hAnsi="Arial" w:cs="Arial"/>
          <w:bCs/>
          <w:sz w:val="18"/>
          <w:szCs w:val="18"/>
        </w:rPr>
        <w:t xml:space="preserve">Bruckner A, Murrell D. Diagnosis of epidermolysis bullosa. UpToDate. </w:t>
      </w:r>
      <w:hyperlink r:id="rId14" w:anchor="H4214194" w:history="1">
        <w:r w:rsidRPr="00784BA2">
          <w:rPr>
            <w:rStyle w:val="Hyperlink"/>
            <w:rFonts w:ascii="Arial" w:hAnsi="Arial" w:cs="Arial"/>
            <w:bCs/>
            <w:sz w:val="18"/>
            <w:szCs w:val="18"/>
          </w:rPr>
          <w:t>https://www.uptodate.com/contents/diagnosis-of-epidermolysis-bullosa?search=dystrophic%20epidermolysis%20bullosa&amp;topicRef=15449&amp;source=see_link#H4214194</w:t>
        </w:r>
      </w:hyperlink>
      <w:r w:rsidRPr="00784BA2">
        <w:rPr>
          <w:rFonts w:ascii="Arial" w:hAnsi="Arial" w:cs="Arial"/>
          <w:bCs/>
          <w:sz w:val="18"/>
          <w:szCs w:val="18"/>
        </w:rPr>
        <w:t xml:space="preserve">. Accessed June 16, 2023. </w:t>
      </w:r>
    </w:p>
    <w:p w14:paraId="41D3D8E2" w14:textId="4A71B1A1" w:rsidR="00F2623D" w:rsidRPr="00784BA2" w:rsidRDefault="00F2623D" w:rsidP="00BE477F">
      <w:pPr>
        <w:pStyle w:val="ListParagraph"/>
        <w:numPr>
          <w:ilvl w:val="0"/>
          <w:numId w:val="49"/>
        </w:numPr>
        <w:rPr>
          <w:rFonts w:ascii="Arial" w:hAnsi="Arial" w:cs="Arial"/>
          <w:bCs/>
          <w:sz w:val="18"/>
          <w:szCs w:val="18"/>
        </w:rPr>
      </w:pPr>
      <w:r w:rsidRPr="00784BA2">
        <w:rPr>
          <w:rFonts w:ascii="Arial" w:hAnsi="Arial" w:cs="Arial"/>
          <w:bCs/>
          <w:sz w:val="18"/>
          <w:szCs w:val="18"/>
        </w:rPr>
        <w:t xml:space="preserve">Epidermolysis Bullosa. National Organization for Rare Disorders. </w:t>
      </w:r>
      <w:hyperlink r:id="rId15" w:anchor="references" w:history="1">
        <w:r w:rsidRPr="00784BA2">
          <w:rPr>
            <w:rStyle w:val="Hyperlink"/>
            <w:rFonts w:ascii="Arial" w:hAnsi="Arial" w:cs="Arial"/>
            <w:bCs/>
            <w:sz w:val="18"/>
            <w:szCs w:val="18"/>
          </w:rPr>
          <w:t>https://rarediseases.org/rare-diseases/epidermolysis-bullosa/#references</w:t>
        </w:r>
      </w:hyperlink>
      <w:r w:rsidRPr="00784BA2">
        <w:rPr>
          <w:rFonts w:ascii="Arial" w:hAnsi="Arial" w:cs="Arial"/>
          <w:bCs/>
          <w:sz w:val="18"/>
          <w:szCs w:val="18"/>
        </w:rPr>
        <w:t xml:space="preserve">. Accessed June 16, 2023. </w:t>
      </w:r>
    </w:p>
    <w:p w14:paraId="00FEA7FE" w14:textId="779FAF4E" w:rsidR="00F2623D" w:rsidRPr="00784BA2" w:rsidRDefault="00F2623D" w:rsidP="00BE477F">
      <w:pPr>
        <w:pStyle w:val="ListParagraph"/>
        <w:numPr>
          <w:ilvl w:val="0"/>
          <w:numId w:val="49"/>
        </w:numPr>
        <w:rPr>
          <w:rFonts w:ascii="Arial" w:hAnsi="Arial" w:cs="Arial"/>
          <w:bCs/>
          <w:sz w:val="18"/>
          <w:szCs w:val="18"/>
        </w:rPr>
      </w:pPr>
      <w:proofErr w:type="spellStart"/>
      <w:r w:rsidRPr="00784BA2">
        <w:rPr>
          <w:rFonts w:ascii="Arial" w:hAnsi="Arial" w:cs="Arial"/>
          <w:bCs/>
          <w:sz w:val="18"/>
          <w:szCs w:val="18"/>
        </w:rPr>
        <w:t>Pfendner</w:t>
      </w:r>
      <w:proofErr w:type="spellEnd"/>
      <w:r w:rsidRPr="00784BA2">
        <w:rPr>
          <w:rFonts w:ascii="Arial" w:hAnsi="Arial" w:cs="Arial"/>
          <w:bCs/>
          <w:sz w:val="18"/>
          <w:szCs w:val="18"/>
        </w:rPr>
        <w:t xml:space="preserve"> E, Luck A. Dystrophic Epidermolysis Bullosa</w:t>
      </w:r>
      <w:r w:rsidR="00F520FE" w:rsidRPr="00784BA2">
        <w:rPr>
          <w:rFonts w:ascii="Arial" w:hAnsi="Arial" w:cs="Arial"/>
          <w:bCs/>
          <w:sz w:val="18"/>
          <w:szCs w:val="18"/>
        </w:rPr>
        <w:t xml:space="preserve">. </w:t>
      </w:r>
      <w:hyperlink r:id="rId16" w:history="1">
        <w:r w:rsidR="00F520FE" w:rsidRPr="00784BA2">
          <w:rPr>
            <w:rStyle w:val="Hyperlink"/>
            <w:rFonts w:ascii="Arial" w:hAnsi="Arial" w:cs="Arial"/>
            <w:sz w:val="18"/>
            <w:szCs w:val="18"/>
          </w:rPr>
          <w:t xml:space="preserve">Dystrophic Epidermolysis Bullosa - </w:t>
        </w:r>
        <w:proofErr w:type="spellStart"/>
        <w:r w:rsidR="00F520FE" w:rsidRPr="00784BA2">
          <w:rPr>
            <w:rStyle w:val="Hyperlink"/>
            <w:rFonts w:ascii="Arial" w:hAnsi="Arial" w:cs="Arial"/>
            <w:sz w:val="18"/>
            <w:szCs w:val="18"/>
          </w:rPr>
          <w:t>GeneReviews</w:t>
        </w:r>
        <w:proofErr w:type="spellEnd"/>
        <w:r w:rsidR="00F520FE" w:rsidRPr="00784BA2">
          <w:rPr>
            <w:rStyle w:val="Hyperlink"/>
            <w:rFonts w:ascii="Arial" w:hAnsi="Arial" w:cs="Arial"/>
            <w:sz w:val="18"/>
            <w:szCs w:val="18"/>
          </w:rPr>
          <w:t>® - NCBI Bookshelf (nih.gov)</w:t>
        </w:r>
      </w:hyperlink>
      <w:r w:rsidR="00F520FE" w:rsidRPr="00784BA2">
        <w:rPr>
          <w:rFonts w:ascii="Arial" w:hAnsi="Arial" w:cs="Arial"/>
          <w:sz w:val="18"/>
          <w:szCs w:val="18"/>
        </w:rPr>
        <w:t xml:space="preserve">. Accessed June 16, 2023. </w:t>
      </w:r>
    </w:p>
    <w:p w14:paraId="7629A887" w14:textId="09FB66BD" w:rsidR="00F520FE" w:rsidRPr="00784BA2" w:rsidRDefault="00F520FE" w:rsidP="00BE477F">
      <w:pPr>
        <w:pStyle w:val="ListParagraph"/>
        <w:numPr>
          <w:ilvl w:val="0"/>
          <w:numId w:val="49"/>
        </w:numPr>
        <w:rPr>
          <w:rFonts w:ascii="Arial" w:hAnsi="Arial" w:cs="Arial"/>
          <w:bCs/>
          <w:sz w:val="18"/>
          <w:szCs w:val="18"/>
        </w:rPr>
      </w:pPr>
      <w:r w:rsidRPr="00784BA2">
        <w:rPr>
          <w:rFonts w:ascii="Arial" w:hAnsi="Arial" w:cs="Arial"/>
          <w:sz w:val="18"/>
          <w:szCs w:val="18"/>
        </w:rPr>
        <w:t xml:space="preserve">U.S. Food &amp; Drug Administration (FDA): News Release: FDA Approves Topical Gene Therapy for Treatment of Wounds in Patients with Dystrophic Epidermolysis Bullosa. </w:t>
      </w:r>
      <w:hyperlink r:id="rId17" w:history="1">
        <w:r w:rsidRPr="00784BA2">
          <w:rPr>
            <w:rStyle w:val="Hyperlink"/>
            <w:rFonts w:ascii="Arial" w:hAnsi="Arial" w:cs="Arial"/>
            <w:sz w:val="18"/>
            <w:szCs w:val="18"/>
          </w:rPr>
          <w:t>https://www.fda.gov/news-events/press-announcements/fda-approves-first-topical-gene-therapy-treatment-wounds-patients-dystrophic-epidermolysis-bullosa</w:t>
        </w:r>
      </w:hyperlink>
      <w:r w:rsidRPr="00784BA2">
        <w:rPr>
          <w:rFonts w:ascii="Arial" w:hAnsi="Arial" w:cs="Arial"/>
          <w:sz w:val="18"/>
          <w:szCs w:val="18"/>
        </w:rPr>
        <w:t xml:space="preserve">. Accessed June 16, 2023. </w:t>
      </w:r>
    </w:p>
    <w:p w14:paraId="299F1D86" w14:textId="64F502BE" w:rsidR="006E4D0C" w:rsidRPr="00784BA2" w:rsidRDefault="00F520FE" w:rsidP="00F520FE">
      <w:pPr>
        <w:pStyle w:val="ListParagraph"/>
        <w:numPr>
          <w:ilvl w:val="0"/>
          <w:numId w:val="49"/>
        </w:numPr>
        <w:rPr>
          <w:rFonts w:ascii="Arial" w:hAnsi="Arial" w:cs="Arial"/>
          <w:bCs/>
          <w:sz w:val="18"/>
          <w:szCs w:val="18"/>
        </w:rPr>
      </w:pPr>
      <w:r w:rsidRPr="00784BA2">
        <w:rPr>
          <w:rFonts w:ascii="Arial" w:hAnsi="Arial" w:cs="Arial"/>
          <w:sz w:val="18"/>
          <w:szCs w:val="18"/>
        </w:rPr>
        <w:t xml:space="preserve">Has C, Liu L, Bolling M, et al. </w:t>
      </w:r>
      <w:proofErr w:type="gramStart"/>
      <w:r w:rsidRPr="00784BA2">
        <w:rPr>
          <w:rFonts w:ascii="Arial" w:hAnsi="Arial" w:cs="Arial"/>
          <w:sz w:val="18"/>
          <w:szCs w:val="18"/>
        </w:rPr>
        <w:t>New</w:t>
      </w:r>
      <w:proofErr w:type="gramEnd"/>
      <w:r w:rsidRPr="00784BA2">
        <w:rPr>
          <w:rFonts w:ascii="Arial" w:hAnsi="Arial" w:cs="Arial"/>
          <w:sz w:val="18"/>
          <w:szCs w:val="18"/>
        </w:rPr>
        <w:t xml:space="preserve"> guidelines for the diagnosis of epidermolysis bullosa. British Journal of Dermatology. 2020; 182(3), 98. </w:t>
      </w:r>
      <w:hyperlink r:id="rId18" w:history="1">
        <w:r w:rsidRPr="00784BA2">
          <w:rPr>
            <w:rStyle w:val="Hyperlink"/>
            <w:rFonts w:ascii="Arial" w:hAnsi="Arial" w:cs="Arial"/>
            <w:sz w:val="18"/>
            <w:szCs w:val="18"/>
          </w:rPr>
          <w:t>New guidelines for the diagnosis of epidermolysis bullosa | British Journal of Dermatology | Oxford Academic (oup.com)</w:t>
        </w:r>
      </w:hyperlink>
      <w:r w:rsidRPr="00784BA2">
        <w:rPr>
          <w:rFonts w:ascii="Arial" w:hAnsi="Arial" w:cs="Arial"/>
          <w:sz w:val="18"/>
          <w:szCs w:val="18"/>
        </w:rPr>
        <w:t xml:space="preserve">. Accessed June 16, 2023. </w:t>
      </w:r>
    </w:p>
    <w:p w14:paraId="4572EADA" w14:textId="35B226B3" w:rsidR="00C04C5C" w:rsidRPr="00784BA2" w:rsidRDefault="00C04C5C" w:rsidP="00F520FE">
      <w:pPr>
        <w:pStyle w:val="ListParagraph"/>
        <w:numPr>
          <w:ilvl w:val="0"/>
          <w:numId w:val="49"/>
        </w:numPr>
        <w:rPr>
          <w:rFonts w:ascii="Arial" w:hAnsi="Arial" w:cs="Arial"/>
          <w:bCs/>
          <w:sz w:val="18"/>
          <w:szCs w:val="18"/>
        </w:rPr>
      </w:pPr>
      <w:r w:rsidRPr="00784BA2">
        <w:rPr>
          <w:rFonts w:ascii="Arial" w:hAnsi="Arial" w:cs="Arial"/>
          <w:sz w:val="18"/>
          <w:szCs w:val="18"/>
        </w:rPr>
        <w:t xml:space="preserve">IPD Analytics: Epidermolysis Bullosa: Disease Overview and Late-Stage Pipeline. Accessed June 16, 2023. </w:t>
      </w:r>
    </w:p>
    <w:p w14:paraId="7C0EBA41" w14:textId="0DBCD5EC" w:rsidR="00380933" w:rsidRPr="00784BA2" w:rsidRDefault="00380933" w:rsidP="00F520FE">
      <w:pPr>
        <w:pStyle w:val="ListParagraph"/>
        <w:numPr>
          <w:ilvl w:val="0"/>
          <w:numId w:val="49"/>
        </w:numPr>
        <w:rPr>
          <w:rFonts w:ascii="Arial" w:hAnsi="Arial" w:cs="Arial"/>
          <w:bCs/>
          <w:sz w:val="18"/>
          <w:szCs w:val="18"/>
        </w:rPr>
      </w:pPr>
      <w:r w:rsidRPr="00784BA2">
        <w:rPr>
          <w:rFonts w:ascii="Arial" w:hAnsi="Arial" w:cs="Arial"/>
          <w:sz w:val="18"/>
          <w:szCs w:val="18"/>
        </w:rPr>
        <w:t xml:space="preserve">NIH: U.S. National Library of Medicine. A Study of FCX-007 for Recessive Dystrophic Epidermolysis Bullosa (DEFI-RDEB). </w:t>
      </w:r>
      <w:hyperlink r:id="rId19" w:history="1">
        <w:r w:rsidRPr="00784BA2">
          <w:rPr>
            <w:rStyle w:val="Hyperlink"/>
            <w:rFonts w:ascii="Arial" w:hAnsi="Arial" w:cs="Arial"/>
            <w:sz w:val="18"/>
            <w:szCs w:val="18"/>
          </w:rPr>
          <w:t>https://clinicaltrials.gov/ct2/show/NCT04213261?term=NCT04213261&amp;draw=2&amp;rank=1</w:t>
        </w:r>
      </w:hyperlink>
      <w:r w:rsidRPr="00784BA2">
        <w:rPr>
          <w:rFonts w:ascii="Arial" w:hAnsi="Arial" w:cs="Arial"/>
          <w:sz w:val="18"/>
          <w:szCs w:val="18"/>
        </w:rPr>
        <w:t xml:space="preserve">. Accessed June 16, 2023. </w:t>
      </w:r>
    </w:p>
    <w:p w14:paraId="3C308C4E" w14:textId="4604CE0E" w:rsidR="00380933" w:rsidRPr="00784BA2" w:rsidRDefault="00380933" w:rsidP="00F520FE">
      <w:pPr>
        <w:pStyle w:val="ListParagraph"/>
        <w:numPr>
          <w:ilvl w:val="0"/>
          <w:numId w:val="49"/>
        </w:numPr>
        <w:rPr>
          <w:rFonts w:ascii="Arial" w:hAnsi="Arial" w:cs="Arial"/>
          <w:bCs/>
          <w:sz w:val="18"/>
          <w:szCs w:val="18"/>
        </w:rPr>
      </w:pPr>
      <w:r w:rsidRPr="00784BA2">
        <w:rPr>
          <w:rFonts w:ascii="Arial" w:hAnsi="Arial" w:cs="Arial"/>
          <w:sz w:val="18"/>
          <w:szCs w:val="18"/>
        </w:rPr>
        <w:t xml:space="preserve">NIH: U.S. National Library of Medicine. Phase 3, Open-label Clinical Trial of EB-101 for the Treatment of Recessive Dystrophic Epidermolysis Bullosa (RDEB). </w:t>
      </w:r>
      <w:hyperlink r:id="rId20" w:history="1">
        <w:r w:rsidRPr="00784BA2">
          <w:rPr>
            <w:rStyle w:val="Hyperlink"/>
            <w:rFonts w:ascii="Arial" w:hAnsi="Arial" w:cs="Arial"/>
            <w:sz w:val="18"/>
            <w:szCs w:val="18"/>
          </w:rPr>
          <w:t>https://clinicaltrials.gov/ct2/show/NCT04227106?term=04227106&amp;draw=2&amp;rank=1</w:t>
        </w:r>
      </w:hyperlink>
      <w:r w:rsidRPr="00784BA2">
        <w:rPr>
          <w:rFonts w:ascii="Arial" w:hAnsi="Arial" w:cs="Arial"/>
          <w:sz w:val="18"/>
          <w:szCs w:val="18"/>
        </w:rPr>
        <w:t xml:space="preserve">. Accessed June 16, 2023. </w:t>
      </w:r>
    </w:p>
    <w:p w14:paraId="5CD3BB62" w14:textId="61211CB0" w:rsidR="00380933" w:rsidRPr="00784BA2" w:rsidRDefault="00380933" w:rsidP="00F520FE">
      <w:pPr>
        <w:pStyle w:val="ListParagraph"/>
        <w:numPr>
          <w:ilvl w:val="0"/>
          <w:numId w:val="49"/>
        </w:numPr>
        <w:rPr>
          <w:rFonts w:ascii="Arial" w:hAnsi="Arial" w:cs="Arial"/>
          <w:bCs/>
          <w:sz w:val="18"/>
          <w:szCs w:val="18"/>
        </w:rPr>
      </w:pPr>
      <w:r w:rsidRPr="00784BA2">
        <w:rPr>
          <w:rFonts w:ascii="Arial" w:hAnsi="Arial" w:cs="Arial"/>
          <w:sz w:val="18"/>
          <w:szCs w:val="18"/>
        </w:rPr>
        <w:t xml:space="preserve">NIH: U.S. National Library of Medicine. Phase III Efficacy and Safety Study of Oleogel-S10 in Epidermolysis Bullosa (EASE). </w:t>
      </w:r>
      <w:hyperlink r:id="rId21" w:history="1">
        <w:r w:rsidRPr="00784BA2">
          <w:rPr>
            <w:rStyle w:val="Hyperlink"/>
            <w:rFonts w:ascii="Arial" w:hAnsi="Arial" w:cs="Arial"/>
            <w:sz w:val="18"/>
            <w:szCs w:val="18"/>
          </w:rPr>
          <w:t>https://clinicaltrials.gov/ct2/show/NCT03068780?term=03068780&amp;draw=2&amp;rank=1</w:t>
        </w:r>
      </w:hyperlink>
      <w:r w:rsidRPr="00784BA2">
        <w:rPr>
          <w:rFonts w:ascii="Arial" w:hAnsi="Arial" w:cs="Arial"/>
          <w:sz w:val="18"/>
          <w:szCs w:val="18"/>
        </w:rPr>
        <w:t xml:space="preserve">. Accessed June 16, 2023. </w:t>
      </w:r>
    </w:p>
    <w:p w14:paraId="654BC0CA" w14:textId="5293C0C3" w:rsidR="00380933" w:rsidRPr="00784BA2" w:rsidRDefault="00784BA2" w:rsidP="00F520FE">
      <w:pPr>
        <w:pStyle w:val="ListParagraph"/>
        <w:numPr>
          <w:ilvl w:val="0"/>
          <w:numId w:val="49"/>
        </w:numPr>
        <w:rPr>
          <w:rFonts w:ascii="Arial" w:hAnsi="Arial" w:cs="Arial"/>
          <w:bCs/>
          <w:sz w:val="18"/>
          <w:szCs w:val="18"/>
        </w:rPr>
      </w:pPr>
      <w:proofErr w:type="spellStart"/>
      <w:r w:rsidRPr="00784BA2">
        <w:rPr>
          <w:rFonts w:ascii="Arial" w:hAnsi="Arial" w:cs="Arial"/>
          <w:sz w:val="18"/>
          <w:szCs w:val="18"/>
        </w:rPr>
        <w:t>Amryt</w:t>
      </w:r>
      <w:proofErr w:type="spellEnd"/>
      <w:r w:rsidRPr="00784BA2">
        <w:rPr>
          <w:rFonts w:ascii="Arial" w:hAnsi="Arial" w:cs="Arial"/>
          <w:sz w:val="18"/>
          <w:szCs w:val="18"/>
        </w:rPr>
        <w:t xml:space="preserve"> Receives Complete Response Letter from the FDA for Oleogol-S10 NDA. </w:t>
      </w:r>
      <w:proofErr w:type="spellStart"/>
      <w:r w:rsidRPr="00784BA2">
        <w:rPr>
          <w:rFonts w:ascii="Arial" w:hAnsi="Arial" w:cs="Arial"/>
          <w:sz w:val="18"/>
          <w:szCs w:val="18"/>
        </w:rPr>
        <w:t>GlobalNewswire</w:t>
      </w:r>
      <w:proofErr w:type="spellEnd"/>
      <w:r w:rsidRPr="00784BA2">
        <w:rPr>
          <w:rFonts w:ascii="Arial" w:hAnsi="Arial" w:cs="Arial"/>
          <w:sz w:val="18"/>
          <w:szCs w:val="18"/>
        </w:rPr>
        <w:t xml:space="preserve">. </w:t>
      </w:r>
      <w:hyperlink r:id="rId22" w:history="1">
        <w:r w:rsidRPr="00784BA2">
          <w:rPr>
            <w:rStyle w:val="Hyperlink"/>
            <w:rFonts w:ascii="Arial" w:hAnsi="Arial" w:cs="Arial"/>
            <w:sz w:val="18"/>
            <w:szCs w:val="18"/>
          </w:rPr>
          <w:t>https://www.globenewswire.com/news-release/2022/02/28/2393303/0/en/Amryt-Receives-Complete-Response-Letter-from-the-FDA-for-Oleogel-S10-NDA.html</w:t>
        </w:r>
      </w:hyperlink>
      <w:r w:rsidRPr="00784BA2">
        <w:rPr>
          <w:rFonts w:ascii="Arial" w:hAnsi="Arial" w:cs="Arial"/>
          <w:sz w:val="18"/>
          <w:szCs w:val="18"/>
        </w:rPr>
        <w:t xml:space="preserve">. Accessed June 16, 2023. </w:t>
      </w:r>
    </w:p>
    <w:sectPr w:rsidR="00380933" w:rsidRPr="00784BA2" w:rsidSect="00D04D4B">
      <w:headerReference w:type="even" r:id="rId23"/>
      <w:headerReference w:type="default" r:id="rId24"/>
      <w:footerReference w:type="default" r:id="rId25"/>
      <w:headerReference w:type="firs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189C" w14:textId="77777777" w:rsidR="00A67D1A" w:rsidRDefault="00A67D1A" w:rsidP="003F2BC8">
      <w:r>
        <w:separator/>
      </w:r>
    </w:p>
  </w:endnote>
  <w:endnote w:type="continuationSeparator" w:id="0">
    <w:p w14:paraId="0E9E9963" w14:textId="77777777" w:rsidR="00A67D1A" w:rsidRDefault="00A67D1A" w:rsidP="003F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F082" w14:textId="567AF4FF" w:rsidR="00FB74D9" w:rsidRDefault="00FB74D9" w:rsidP="00386897">
    <w:pPr>
      <w:pStyle w:val="Footer"/>
      <w:tabs>
        <w:tab w:val="right" w:pos="7920"/>
      </w:tabs>
      <w:rPr>
        <w:sz w:val="13"/>
        <w:szCs w:val="13"/>
      </w:rPr>
    </w:pPr>
    <w:r>
      <w:rPr>
        <w:sz w:val="16"/>
        <w:szCs w:val="16"/>
      </w:rPr>
      <w:t>©202</w:t>
    </w:r>
    <w:r w:rsidR="00292634">
      <w:rPr>
        <w:sz w:val="16"/>
        <w:szCs w:val="16"/>
      </w:rPr>
      <w:t>3</w:t>
    </w:r>
    <w:r>
      <w:rPr>
        <w:sz w:val="16"/>
        <w:szCs w:val="16"/>
      </w:rPr>
      <w:t xml:space="preserve"> Conduent Business Services, LLC. All rights reserved. Conduent and Conduent Agile Star are trademarks of Conduent Business Services, LLC in the United States and/or other countries. </w:t>
    </w:r>
    <w:r w:rsidRPr="00386897">
      <w:rPr>
        <w:sz w:val="16"/>
        <w:szCs w:val="16"/>
      </w:rPr>
      <w:t>Other company trademarks are also acknowledged</w:t>
    </w:r>
    <w:r w:rsidR="00F607F9">
      <w:rPr>
        <w:sz w:val="13"/>
        <w:szCs w:val="13"/>
      </w:rPr>
      <w:t xml:space="preserve">. </w:t>
    </w:r>
    <w:r w:rsidR="00F607F9" w:rsidRPr="00F607F9">
      <w:rPr>
        <w:sz w:val="16"/>
        <w:szCs w:val="16"/>
      </w:rPr>
      <w:t>Disclaimer: The clinical summary and criteria provided are for informational purposes only and not to be used to make decisions on treatment therapy, clinical decisions, or a replacement for the advice of a medical professional.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2845" w14:textId="77777777" w:rsidR="00A67D1A" w:rsidRDefault="00A67D1A" w:rsidP="003F2BC8">
      <w:r>
        <w:separator/>
      </w:r>
    </w:p>
  </w:footnote>
  <w:footnote w:type="continuationSeparator" w:id="0">
    <w:p w14:paraId="3987964E" w14:textId="77777777" w:rsidR="00A67D1A" w:rsidRDefault="00A67D1A" w:rsidP="003F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B909" w14:textId="434CBE52" w:rsidR="00BE477F" w:rsidRDefault="00685FF5">
    <w:pPr>
      <w:pStyle w:val="Header"/>
    </w:pPr>
    <w:r>
      <w:rPr>
        <w:noProof/>
      </w:rPr>
      <w:pict w14:anchorId="62D5E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43.8pt;height:217.5pt;rotation:315;z-index:-251653120;mso-position-horizontal:center;mso-position-horizontal-relative:margin;mso-position-vertical:center;mso-position-vertical-relative:margin" o:allowincell="f" fillcolor="#8db3e2 [1311]"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F908" w14:textId="3A13B180" w:rsidR="00FB74D9" w:rsidRDefault="00685FF5">
    <w:pPr>
      <w:pStyle w:val="Header"/>
    </w:pPr>
    <w:r>
      <w:rPr>
        <w:noProof/>
      </w:rPr>
      <w:pict w14:anchorId="312A2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43.8pt;height:217.5pt;rotation:315;z-index:-251651072;mso-position-horizontal:center;mso-position-horizontal-relative:margin;mso-position-vertical:center;mso-position-vertical-relative:margin" o:allowincell="f" fillcolor="#8db3e2 [1311]" stroked="f">
          <v:fill opacity=".5"/>
          <v:textpath style="font-family:&quot;Arial&quot;;font-size:1pt" string="DRAFT"/>
        </v:shape>
      </w:pict>
    </w:r>
  </w:p>
  <w:p w14:paraId="08BDF07F" w14:textId="77777777" w:rsidR="00FB74D9" w:rsidRDefault="00FB74D9">
    <w:pPr>
      <w:pStyle w:val="Header"/>
    </w:pPr>
    <w:r>
      <w:rPr>
        <w:noProof/>
      </w:rPr>
      <w:drawing>
        <wp:anchor distT="0" distB="0" distL="114300" distR="114300" simplePos="0" relativeHeight="251659264" behindDoc="0" locked="0" layoutInCell="1" allowOverlap="1" wp14:anchorId="08BDF084" wp14:editId="72290096">
          <wp:simplePos x="0" y="0"/>
          <wp:positionH relativeFrom="page">
            <wp:posOffset>4897755</wp:posOffset>
          </wp:positionH>
          <wp:positionV relativeFrom="page">
            <wp:align>top</wp:align>
          </wp:positionV>
          <wp:extent cx="2247900" cy="823595"/>
          <wp:effectExtent l="0" t="0" r="0" b="0"/>
          <wp:wrapNone/>
          <wp:docPr id="16" name="Picture 16" title="Condu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uent Logo.png"/>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C669E" w14:textId="5B4C260E" w:rsidR="00BE477F" w:rsidRDefault="00685FF5">
    <w:pPr>
      <w:pStyle w:val="Header"/>
    </w:pPr>
    <w:r>
      <w:rPr>
        <w:noProof/>
      </w:rPr>
      <w:pict w14:anchorId="615A2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43.8pt;height:217.5pt;rotation:315;z-index:-251655168;mso-position-horizontal:center;mso-position-horizontal-relative:margin;mso-position-vertical:center;mso-position-vertical-relative:margin" o:allowincell="f" fillcolor="#8db3e2 [1311]"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11D"/>
    <w:multiLevelType w:val="hybridMultilevel"/>
    <w:tmpl w:val="81983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96799"/>
    <w:multiLevelType w:val="hybridMultilevel"/>
    <w:tmpl w:val="B6F438F6"/>
    <w:lvl w:ilvl="0" w:tplc="04090001">
      <w:start w:val="1"/>
      <w:numFmt w:val="bullet"/>
      <w:lvlText w:val=""/>
      <w:lvlJc w:val="left"/>
      <w:pPr>
        <w:ind w:left="360" w:hanging="360"/>
      </w:pPr>
      <w:rPr>
        <w:rFonts w:ascii="Symbol" w:hAnsi="Symbol" w:hint="default"/>
      </w:rPr>
    </w:lvl>
    <w:lvl w:ilvl="1" w:tplc="B2A0297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86C43"/>
    <w:multiLevelType w:val="hybridMultilevel"/>
    <w:tmpl w:val="CF5445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C2276"/>
    <w:multiLevelType w:val="hybridMultilevel"/>
    <w:tmpl w:val="EF588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880D20A">
      <w:numFmt w:val="bullet"/>
      <w:lvlText w:val="-"/>
      <w:lvlJc w:val="left"/>
      <w:pPr>
        <w:ind w:left="2880" w:hanging="360"/>
      </w:pPr>
      <w:rPr>
        <w:rFonts w:ascii="Calibri" w:eastAsia="Calibri" w:hAnsi="Calibri"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11B46"/>
    <w:multiLevelType w:val="hybridMultilevel"/>
    <w:tmpl w:val="0136CE0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1039B6"/>
    <w:multiLevelType w:val="hybridMultilevel"/>
    <w:tmpl w:val="6220E4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8593B"/>
    <w:multiLevelType w:val="hybridMultilevel"/>
    <w:tmpl w:val="F970CC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92DE2"/>
    <w:multiLevelType w:val="hybridMultilevel"/>
    <w:tmpl w:val="00BC9B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41458"/>
    <w:multiLevelType w:val="hybridMultilevel"/>
    <w:tmpl w:val="B418B4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42D77"/>
    <w:multiLevelType w:val="hybridMultilevel"/>
    <w:tmpl w:val="E26A88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31C85"/>
    <w:multiLevelType w:val="hybridMultilevel"/>
    <w:tmpl w:val="AED835F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853712"/>
    <w:multiLevelType w:val="hybridMultilevel"/>
    <w:tmpl w:val="CA00FB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413988"/>
    <w:multiLevelType w:val="hybridMultilevel"/>
    <w:tmpl w:val="BBB47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31049"/>
    <w:multiLevelType w:val="hybridMultilevel"/>
    <w:tmpl w:val="CF885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125A9D"/>
    <w:multiLevelType w:val="hybridMultilevel"/>
    <w:tmpl w:val="1478C3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F4C88"/>
    <w:multiLevelType w:val="hybridMultilevel"/>
    <w:tmpl w:val="8A9AB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00A8C"/>
    <w:multiLevelType w:val="hybridMultilevel"/>
    <w:tmpl w:val="325E8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C30D1A"/>
    <w:multiLevelType w:val="hybridMultilevel"/>
    <w:tmpl w:val="B1BA9C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A78F1"/>
    <w:multiLevelType w:val="hybridMultilevel"/>
    <w:tmpl w:val="A91AC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2565FA"/>
    <w:multiLevelType w:val="hybridMultilevel"/>
    <w:tmpl w:val="F5F67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715BF2"/>
    <w:multiLevelType w:val="hybridMultilevel"/>
    <w:tmpl w:val="5216A5D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3621AC"/>
    <w:multiLevelType w:val="hybridMultilevel"/>
    <w:tmpl w:val="87543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772E30"/>
    <w:multiLevelType w:val="hybridMultilevel"/>
    <w:tmpl w:val="5D108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45DA0"/>
    <w:multiLevelType w:val="hybridMultilevel"/>
    <w:tmpl w:val="0742B0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214BFF"/>
    <w:multiLevelType w:val="hybridMultilevel"/>
    <w:tmpl w:val="800A7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C1751D"/>
    <w:multiLevelType w:val="hybridMultilevel"/>
    <w:tmpl w:val="7390D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0D5B0E"/>
    <w:multiLevelType w:val="hybridMultilevel"/>
    <w:tmpl w:val="CDBA1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A92689"/>
    <w:multiLevelType w:val="hybridMultilevel"/>
    <w:tmpl w:val="49F4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7495B"/>
    <w:multiLevelType w:val="hybridMultilevel"/>
    <w:tmpl w:val="D428C4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814593A"/>
    <w:multiLevelType w:val="hybridMultilevel"/>
    <w:tmpl w:val="181C5CAC"/>
    <w:lvl w:ilvl="0" w:tplc="244A86C8">
      <w:numFmt w:val="bullet"/>
      <w:lvlText w:val=""/>
      <w:lvlJc w:val="left"/>
      <w:pPr>
        <w:ind w:left="360" w:hanging="360"/>
      </w:pPr>
      <w:rPr>
        <w:rFonts w:ascii="Symbol" w:eastAsia="Arial" w:hAnsi="Symbo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C47AE6"/>
    <w:multiLevelType w:val="hybridMultilevel"/>
    <w:tmpl w:val="3D708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9019FD"/>
    <w:multiLevelType w:val="hybridMultilevel"/>
    <w:tmpl w:val="2C38CF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A709DE"/>
    <w:multiLevelType w:val="hybridMultilevel"/>
    <w:tmpl w:val="9AF2BA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035D81"/>
    <w:multiLevelType w:val="hybridMultilevel"/>
    <w:tmpl w:val="DA30FE4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06E406F"/>
    <w:multiLevelType w:val="hybridMultilevel"/>
    <w:tmpl w:val="42F41DA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15163F1"/>
    <w:multiLevelType w:val="hybridMultilevel"/>
    <w:tmpl w:val="B720EF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415429"/>
    <w:multiLevelType w:val="hybridMultilevel"/>
    <w:tmpl w:val="C9F08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07A23"/>
    <w:multiLevelType w:val="hybridMultilevel"/>
    <w:tmpl w:val="A80E9D6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D7F08A4"/>
    <w:multiLevelType w:val="hybridMultilevel"/>
    <w:tmpl w:val="2EC23D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0F56C6F"/>
    <w:multiLevelType w:val="hybridMultilevel"/>
    <w:tmpl w:val="D3982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1832637"/>
    <w:multiLevelType w:val="hybridMultilevel"/>
    <w:tmpl w:val="8CA04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683A11"/>
    <w:multiLevelType w:val="hybridMultilevel"/>
    <w:tmpl w:val="9A7E6B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DD2E25"/>
    <w:multiLevelType w:val="hybridMultilevel"/>
    <w:tmpl w:val="237CCB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F64819"/>
    <w:multiLevelType w:val="hybridMultilevel"/>
    <w:tmpl w:val="59B017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E994502"/>
    <w:multiLevelType w:val="hybridMultilevel"/>
    <w:tmpl w:val="5BAC70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F6671D8"/>
    <w:multiLevelType w:val="hybridMultilevel"/>
    <w:tmpl w:val="6D0AA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FE15D1B"/>
    <w:multiLevelType w:val="hybridMultilevel"/>
    <w:tmpl w:val="20D857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40264B"/>
    <w:multiLevelType w:val="hybridMultilevel"/>
    <w:tmpl w:val="98F0A8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7803CD"/>
    <w:multiLevelType w:val="hybridMultilevel"/>
    <w:tmpl w:val="F0F0C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B0B26A3"/>
    <w:multiLevelType w:val="hybridMultilevel"/>
    <w:tmpl w:val="E578B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586A70"/>
    <w:multiLevelType w:val="hybridMultilevel"/>
    <w:tmpl w:val="9F1EE922"/>
    <w:lvl w:ilvl="0" w:tplc="433CE568">
      <w:start w:val="1"/>
      <w:numFmt w:val="bullet"/>
      <w:lvlText w:val=""/>
      <w:lvlJc w:val="left"/>
      <w:pPr>
        <w:ind w:left="360" w:hanging="360"/>
      </w:pPr>
      <w:rPr>
        <w:rFonts w:ascii="Symbol" w:hAnsi="Symbol" w:hint="default"/>
        <w:sz w:val="20"/>
        <w:szCs w:val="16"/>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3851702">
    <w:abstractNumId w:val="15"/>
  </w:num>
  <w:num w:numId="2" w16cid:durableId="258490179">
    <w:abstractNumId w:val="12"/>
  </w:num>
  <w:num w:numId="3" w16cid:durableId="180513818">
    <w:abstractNumId w:val="40"/>
  </w:num>
  <w:num w:numId="4" w16cid:durableId="875000470">
    <w:abstractNumId w:val="25"/>
  </w:num>
  <w:num w:numId="5" w16cid:durableId="1545144083">
    <w:abstractNumId w:val="1"/>
  </w:num>
  <w:num w:numId="6" w16cid:durableId="1371109645">
    <w:abstractNumId w:val="3"/>
  </w:num>
  <w:num w:numId="7" w16cid:durableId="1103264470">
    <w:abstractNumId w:val="21"/>
  </w:num>
  <w:num w:numId="8" w16cid:durableId="530994505">
    <w:abstractNumId w:val="16"/>
  </w:num>
  <w:num w:numId="9" w16cid:durableId="2086805056">
    <w:abstractNumId w:val="26"/>
  </w:num>
  <w:num w:numId="10" w16cid:durableId="84810498">
    <w:abstractNumId w:val="8"/>
  </w:num>
  <w:num w:numId="11" w16cid:durableId="1557618592">
    <w:abstractNumId w:val="0"/>
  </w:num>
  <w:num w:numId="12" w16cid:durableId="1662074501">
    <w:abstractNumId w:val="28"/>
  </w:num>
  <w:num w:numId="13" w16cid:durableId="893735128">
    <w:abstractNumId w:val="18"/>
  </w:num>
  <w:num w:numId="14" w16cid:durableId="1171413518">
    <w:abstractNumId w:val="42"/>
  </w:num>
  <w:num w:numId="15" w16cid:durableId="332032213">
    <w:abstractNumId w:val="45"/>
  </w:num>
  <w:num w:numId="16" w16cid:durableId="5912314">
    <w:abstractNumId w:val="19"/>
  </w:num>
  <w:num w:numId="17" w16cid:durableId="1353266529">
    <w:abstractNumId w:val="39"/>
  </w:num>
  <w:num w:numId="18" w16cid:durableId="576480316">
    <w:abstractNumId w:val="13"/>
  </w:num>
  <w:num w:numId="19" w16cid:durableId="2019578339">
    <w:abstractNumId w:val="31"/>
  </w:num>
  <w:num w:numId="20" w16cid:durableId="1005937616">
    <w:abstractNumId w:val="50"/>
  </w:num>
  <w:num w:numId="21" w16cid:durableId="1467432461">
    <w:abstractNumId w:val="49"/>
  </w:num>
  <w:num w:numId="22" w16cid:durableId="95491192">
    <w:abstractNumId w:val="44"/>
  </w:num>
  <w:num w:numId="23" w16cid:durableId="614287341">
    <w:abstractNumId w:val="43"/>
  </w:num>
  <w:num w:numId="24" w16cid:durableId="1395740996">
    <w:abstractNumId w:val="5"/>
  </w:num>
  <w:num w:numId="25" w16cid:durableId="801074307">
    <w:abstractNumId w:val="30"/>
  </w:num>
  <w:num w:numId="26" w16cid:durableId="999582654">
    <w:abstractNumId w:val="38"/>
  </w:num>
  <w:num w:numId="27" w16cid:durableId="1872260016">
    <w:abstractNumId w:val="17"/>
  </w:num>
  <w:num w:numId="28" w16cid:durableId="1664431452">
    <w:abstractNumId w:val="32"/>
  </w:num>
  <w:num w:numId="29" w16cid:durableId="240792250">
    <w:abstractNumId w:val="9"/>
  </w:num>
  <w:num w:numId="30" w16cid:durableId="280772381">
    <w:abstractNumId w:val="35"/>
  </w:num>
  <w:num w:numId="31" w16cid:durableId="1766723598">
    <w:abstractNumId w:val="10"/>
  </w:num>
  <w:num w:numId="32" w16cid:durableId="1864242447">
    <w:abstractNumId w:val="46"/>
  </w:num>
  <w:num w:numId="33" w16cid:durableId="1934238222">
    <w:abstractNumId w:val="6"/>
  </w:num>
  <w:num w:numId="34" w16cid:durableId="865825718">
    <w:abstractNumId w:val="14"/>
  </w:num>
  <w:num w:numId="35" w16cid:durableId="1702706461">
    <w:abstractNumId w:val="23"/>
  </w:num>
  <w:num w:numId="36" w16cid:durableId="1424570333">
    <w:abstractNumId w:val="7"/>
  </w:num>
  <w:num w:numId="37" w16cid:durableId="91627309">
    <w:abstractNumId w:val="4"/>
  </w:num>
  <w:num w:numId="38" w16cid:durableId="2139951313">
    <w:abstractNumId w:val="34"/>
  </w:num>
  <w:num w:numId="39" w16cid:durableId="1387949227">
    <w:abstractNumId w:val="37"/>
  </w:num>
  <w:num w:numId="40" w16cid:durableId="1109011642">
    <w:abstractNumId w:val="20"/>
  </w:num>
  <w:num w:numId="41" w16cid:durableId="553736896">
    <w:abstractNumId w:val="2"/>
  </w:num>
  <w:num w:numId="42" w16cid:durableId="1220943264">
    <w:abstractNumId w:val="41"/>
  </w:num>
  <w:num w:numId="43" w16cid:durableId="706100093">
    <w:abstractNumId w:val="11"/>
  </w:num>
  <w:num w:numId="44" w16cid:durableId="164371206">
    <w:abstractNumId w:val="33"/>
  </w:num>
  <w:num w:numId="45" w16cid:durableId="2000498121">
    <w:abstractNumId w:val="24"/>
  </w:num>
  <w:num w:numId="46" w16cid:durableId="147091588">
    <w:abstractNumId w:val="36"/>
  </w:num>
  <w:num w:numId="47" w16cid:durableId="1396968921">
    <w:abstractNumId w:val="47"/>
  </w:num>
  <w:num w:numId="48" w16cid:durableId="1783185986">
    <w:abstractNumId w:val="22"/>
  </w:num>
  <w:num w:numId="49" w16cid:durableId="44723001">
    <w:abstractNumId w:val="27"/>
  </w:num>
  <w:num w:numId="50" w16cid:durableId="607588922">
    <w:abstractNumId w:val="29"/>
  </w:num>
  <w:num w:numId="51" w16cid:durableId="164365968">
    <w:abstractNumId w:val="4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C8"/>
    <w:rsid w:val="00015A93"/>
    <w:rsid w:val="000221E4"/>
    <w:rsid w:val="00027131"/>
    <w:rsid w:val="00031D3C"/>
    <w:rsid w:val="00034B40"/>
    <w:rsid w:val="00041053"/>
    <w:rsid w:val="000428BE"/>
    <w:rsid w:val="000537C2"/>
    <w:rsid w:val="00054A9C"/>
    <w:rsid w:val="000556C4"/>
    <w:rsid w:val="000612A7"/>
    <w:rsid w:val="0006306E"/>
    <w:rsid w:val="000631AE"/>
    <w:rsid w:val="0006458B"/>
    <w:rsid w:val="00070744"/>
    <w:rsid w:val="0007080E"/>
    <w:rsid w:val="00073FA4"/>
    <w:rsid w:val="00075767"/>
    <w:rsid w:val="000777AF"/>
    <w:rsid w:val="000834B6"/>
    <w:rsid w:val="00084C4E"/>
    <w:rsid w:val="000861F3"/>
    <w:rsid w:val="00097B95"/>
    <w:rsid w:val="000A340E"/>
    <w:rsid w:val="000B462D"/>
    <w:rsid w:val="000C7FBC"/>
    <w:rsid w:val="000D191A"/>
    <w:rsid w:val="000D77DF"/>
    <w:rsid w:val="000E1709"/>
    <w:rsid w:val="000E3CB7"/>
    <w:rsid w:val="000E4377"/>
    <w:rsid w:val="000F292C"/>
    <w:rsid w:val="000F2BE7"/>
    <w:rsid w:val="000F775D"/>
    <w:rsid w:val="00105CEB"/>
    <w:rsid w:val="00111234"/>
    <w:rsid w:val="00113A0B"/>
    <w:rsid w:val="001176CA"/>
    <w:rsid w:val="00133147"/>
    <w:rsid w:val="00144F5A"/>
    <w:rsid w:val="00146655"/>
    <w:rsid w:val="00154518"/>
    <w:rsid w:val="00160906"/>
    <w:rsid w:val="0016140E"/>
    <w:rsid w:val="00161879"/>
    <w:rsid w:val="001702C2"/>
    <w:rsid w:val="001A0789"/>
    <w:rsid w:val="001B014F"/>
    <w:rsid w:val="001C5BFF"/>
    <w:rsid w:val="001D707E"/>
    <w:rsid w:val="001E0CF2"/>
    <w:rsid w:val="001F4168"/>
    <w:rsid w:val="001F5AD0"/>
    <w:rsid w:val="001F7525"/>
    <w:rsid w:val="00200660"/>
    <w:rsid w:val="00211F5E"/>
    <w:rsid w:val="00217452"/>
    <w:rsid w:val="00221BE2"/>
    <w:rsid w:val="00221D1A"/>
    <w:rsid w:val="0022311B"/>
    <w:rsid w:val="00223B24"/>
    <w:rsid w:val="00233827"/>
    <w:rsid w:val="00241DAF"/>
    <w:rsid w:val="00245157"/>
    <w:rsid w:val="00251921"/>
    <w:rsid w:val="0025307C"/>
    <w:rsid w:val="00255E97"/>
    <w:rsid w:val="0026249F"/>
    <w:rsid w:val="002865B6"/>
    <w:rsid w:val="00292634"/>
    <w:rsid w:val="002A1A3C"/>
    <w:rsid w:val="002B2DFB"/>
    <w:rsid w:val="002B62E6"/>
    <w:rsid w:val="002C22DD"/>
    <w:rsid w:val="002C3786"/>
    <w:rsid w:val="002D5BC5"/>
    <w:rsid w:val="002E26A8"/>
    <w:rsid w:val="002E2E30"/>
    <w:rsid w:val="002F149D"/>
    <w:rsid w:val="003016C0"/>
    <w:rsid w:val="0030312D"/>
    <w:rsid w:val="003055C5"/>
    <w:rsid w:val="003168D6"/>
    <w:rsid w:val="00317495"/>
    <w:rsid w:val="00317B32"/>
    <w:rsid w:val="0032787E"/>
    <w:rsid w:val="00333C64"/>
    <w:rsid w:val="0033738C"/>
    <w:rsid w:val="00341EFD"/>
    <w:rsid w:val="00355F00"/>
    <w:rsid w:val="00363DD7"/>
    <w:rsid w:val="00371800"/>
    <w:rsid w:val="00375520"/>
    <w:rsid w:val="00380933"/>
    <w:rsid w:val="00380E16"/>
    <w:rsid w:val="00383384"/>
    <w:rsid w:val="00385D6F"/>
    <w:rsid w:val="00386897"/>
    <w:rsid w:val="0039710B"/>
    <w:rsid w:val="003A1509"/>
    <w:rsid w:val="003A3C56"/>
    <w:rsid w:val="003B49F7"/>
    <w:rsid w:val="003D24F4"/>
    <w:rsid w:val="003D74E6"/>
    <w:rsid w:val="003E608F"/>
    <w:rsid w:val="003F1424"/>
    <w:rsid w:val="003F2BC8"/>
    <w:rsid w:val="003F4289"/>
    <w:rsid w:val="003F615B"/>
    <w:rsid w:val="003F6292"/>
    <w:rsid w:val="00411DE2"/>
    <w:rsid w:val="00416704"/>
    <w:rsid w:val="00420620"/>
    <w:rsid w:val="00434BA7"/>
    <w:rsid w:val="00435BD7"/>
    <w:rsid w:val="00437251"/>
    <w:rsid w:val="00446907"/>
    <w:rsid w:val="004505C3"/>
    <w:rsid w:val="00460A82"/>
    <w:rsid w:val="0046156A"/>
    <w:rsid w:val="004648E9"/>
    <w:rsid w:val="00474055"/>
    <w:rsid w:val="00476403"/>
    <w:rsid w:val="0048515C"/>
    <w:rsid w:val="00492A23"/>
    <w:rsid w:val="004979E8"/>
    <w:rsid w:val="00497D64"/>
    <w:rsid w:val="004A1E4C"/>
    <w:rsid w:val="004B2EA8"/>
    <w:rsid w:val="004C062C"/>
    <w:rsid w:val="004C547D"/>
    <w:rsid w:val="004D393C"/>
    <w:rsid w:val="004E19C7"/>
    <w:rsid w:val="004E72EE"/>
    <w:rsid w:val="004F0BB7"/>
    <w:rsid w:val="004F2B5B"/>
    <w:rsid w:val="004F3937"/>
    <w:rsid w:val="004F583E"/>
    <w:rsid w:val="004F6C79"/>
    <w:rsid w:val="00504460"/>
    <w:rsid w:val="00525F86"/>
    <w:rsid w:val="005265C3"/>
    <w:rsid w:val="005320D6"/>
    <w:rsid w:val="005517FE"/>
    <w:rsid w:val="00564578"/>
    <w:rsid w:val="00566910"/>
    <w:rsid w:val="00570753"/>
    <w:rsid w:val="00571D70"/>
    <w:rsid w:val="005823FD"/>
    <w:rsid w:val="00590692"/>
    <w:rsid w:val="00592039"/>
    <w:rsid w:val="005A0743"/>
    <w:rsid w:val="005B577A"/>
    <w:rsid w:val="005B799C"/>
    <w:rsid w:val="005D28C7"/>
    <w:rsid w:val="005D6FDD"/>
    <w:rsid w:val="005F02B2"/>
    <w:rsid w:val="00600205"/>
    <w:rsid w:val="00603339"/>
    <w:rsid w:val="00603A53"/>
    <w:rsid w:val="0061583A"/>
    <w:rsid w:val="00621454"/>
    <w:rsid w:val="006308E0"/>
    <w:rsid w:val="00630F7F"/>
    <w:rsid w:val="00635349"/>
    <w:rsid w:val="00640B95"/>
    <w:rsid w:val="006421A4"/>
    <w:rsid w:val="00643AFF"/>
    <w:rsid w:val="00645CBD"/>
    <w:rsid w:val="00646D5C"/>
    <w:rsid w:val="00647EBE"/>
    <w:rsid w:val="00650BD5"/>
    <w:rsid w:val="00654B72"/>
    <w:rsid w:val="006573E1"/>
    <w:rsid w:val="006664BE"/>
    <w:rsid w:val="00673415"/>
    <w:rsid w:val="00673755"/>
    <w:rsid w:val="00685FF5"/>
    <w:rsid w:val="0068720C"/>
    <w:rsid w:val="00691C88"/>
    <w:rsid w:val="00694030"/>
    <w:rsid w:val="006A01E3"/>
    <w:rsid w:val="006A3555"/>
    <w:rsid w:val="006A7E60"/>
    <w:rsid w:val="006B2C1E"/>
    <w:rsid w:val="006B40FB"/>
    <w:rsid w:val="006B4D4D"/>
    <w:rsid w:val="006C03FA"/>
    <w:rsid w:val="006C0EF9"/>
    <w:rsid w:val="006C0F1A"/>
    <w:rsid w:val="006C11C6"/>
    <w:rsid w:val="006C4D6A"/>
    <w:rsid w:val="006C73B7"/>
    <w:rsid w:val="006D0EE9"/>
    <w:rsid w:val="006E4D0C"/>
    <w:rsid w:val="006E68EC"/>
    <w:rsid w:val="006E7BAB"/>
    <w:rsid w:val="00711AE6"/>
    <w:rsid w:val="0071542D"/>
    <w:rsid w:val="00716DDB"/>
    <w:rsid w:val="007179A3"/>
    <w:rsid w:val="0072013D"/>
    <w:rsid w:val="007364E9"/>
    <w:rsid w:val="00736AA2"/>
    <w:rsid w:val="00740A28"/>
    <w:rsid w:val="00744D04"/>
    <w:rsid w:val="00747299"/>
    <w:rsid w:val="007600AB"/>
    <w:rsid w:val="007614B9"/>
    <w:rsid w:val="00772199"/>
    <w:rsid w:val="007723E2"/>
    <w:rsid w:val="00772506"/>
    <w:rsid w:val="00774899"/>
    <w:rsid w:val="00776979"/>
    <w:rsid w:val="00782732"/>
    <w:rsid w:val="00783C0F"/>
    <w:rsid w:val="00784BA2"/>
    <w:rsid w:val="007870E8"/>
    <w:rsid w:val="007875E9"/>
    <w:rsid w:val="0078796F"/>
    <w:rsid w:val="00790B4B"/>
    <w:rsid w:val="007924F7"/>
    <w:rsid w:val="00792574"/>
    <w:rsid w:val="00794BDF"/>
    <w:rsid w:val="007A003A"/>
    <w:rsid w:val="007A5F8E"/>
    <w:rsid w:val="007A6C2E"/>
    <w:rsid w:val="007A73EC"/>
    <w:rsid w:val="007B0347"/>
    <w:rsid w:val="007B0611"/>
    <w:rsid w:val="007B214B"/>
    <w:rsid w:val="007C1507"/>
    <w:rsid w:val="007C51D2"/>
    <w:rsid w:val="007D3F20"/>
    <w:rsid w:val="007F190C"/>
    <w:rsid w:val="007F2031"/>
    <w:rsid w:val="008047A7"/>
    <w:rsid w:val="00804AAC"/>
    <w:rsid w:val="00805A6F"/>
    <w:rsid w:val="00812D61"/>
    <w:rsid w:val="0081376B"/>
    <w:rsid w:val="0081538C"/>
    <w:rsid w:val="008216CD"/>
    <w:rsid w:val="00821CA6"/>
    <w:rsid w:val="0082286D"/>
    <w:rsid w:val="008262D4"/>
    <w:rsid w:val="008319DA"/>
    <w:rsid w:val="0084155E"/>
    <w:rsid w:val="00860D4D"/>
    <w:rsid w:val="00864CA1"/>
    <w:rsid w:val="0087074C"/>
    <w:rsid w:val="0089062E"/>
    <w:rsid w:val="00891EB3"/>
    <w:rsid w:val="008A202E"/>
    <w:rsid w:val="008A292F"/>
    <w:rsid w:val="008A510A"/>
    <w:rsid w:val="008A6854"/>
    <w:rsid w:val="008A7F7F"/>
    <w:rsid w:val="008B03CF"/>
    <w:rsid w:val="008B2ACD"/>
    <w:rsid w:val="008B334F"/>
    <w:rsid w:val="008C0CFE"/>
    <w:rsid w:val="008C465C"/>
    <w:rsid w:val="008D2A2A"/>
    <w:rsid w:val="008E1D10"/>
    <w:rsid w:val="008E6C65"/>
    <w:rsid w:val="0090098F"/>
    <w:rsid w:val="00907DD9"/>
    <w:rsid w:val="00911214"/>
    <w:rsid w:val="009232A0"/>
    <w:rsid w:val="009235EE"/>
    <w:rsid w:val="00925756"/>
    <w:rsid w:val="009274D1"/>
    <w:rsid w:val="00927C43"/>
    <w:rsid w:val="0093172F"/>
    <w:rsid w:val="00931FDE"/>
    <w:rsid w:val="00935878"/>
    <w:rsid w:val="00936415"/>
    <w:rsid w:val="00937914"/>
    <w:rsid w:val="0094259A"/>
    <w:rsid w:val="0094694F"/>
    <w:rsid w:val="009503F5"/>
    <w:rsid w:val="00951856"/>
    <w:rsid w:val="00955F24"/>
    <w:rsid w:val="00982EF2"/>
    <w:rsid w:val="0098765A"/>
    <w:rsid w:val="00994813"/>
    <w:rsid w:val="00994AB0"/>
    <w:rsid w:val="009B0933"/>
    <w:rsid w:val="009B33C4"/>
    <w:rsid w:val="009C394C"/>
    <w:rsid w:val="009C439D"/>
    <w:rsid w:val="009D666D"/>
    <w:rsid w:val="009E464D"/>
    <w:rsid w:val="009E7BB4"/>
    <w:rsid w:val="009F700B"/>
    <w:rsid w:val="00A02E49"/>
    <w:rsid w:val="00A02FBA"/>
    <w:rsid w:val="00A05851"/>
    <w:rsid w:val="00A059BD"/>
    <w:rsid w:val="00A10C49"/>
    <w:rsid w:val="00A12BD8"/>
    <w:rsid w:val="00A14E42"/>
    <w:rsid w:val="00A224CB"/>
    <w:rsid w:val="00A349F2"/>
    <w:rsid w:val="00A4015B"/>
    <w:rsid w:val="00A40E61"/>
    <w:rsid w:val="00A43F23"/>
    <w:rsid w:val="00A67D1A"/>
    <w:rsid w:val="00A67D64"/>
    <w:rsid w:val="00A77849"/>
    <w:rsid w:val="00A80152"/>
    <w:rsid w:val="00A81BCD"/>
    <w:rsid w:val="00A82276"/>
    <w:rsid w:val="00A822B8"/>
    <w:rsid w:val="00A83169"/>
    <w:rsid w:val="00A96367"/>
    <w:rsid w:val="00A97430"/>
    <w:rsid w:val="00AA4041"/>
    <w:rsid w:val="00AB3B4E"/>
    <w:rsid w:val="00AB42F6"/>
    <w:rsid w:val="00AB6B53"/>
    <w:rsid w:val="00AB7392"/>
    <w:rsid w:val="00AC0C5E"/>
    <w:rsid w:val="00AD2470"/>
    <w:rsid w:val="00AE7313"/>
    <w:rsid w:val="00AF35A3"/>
    <w:rsid w:val="00AF5D84"/>
    <w:rsid w:val="00AF7FDC"/>
    <w:rsid w:val="00B06A70"/>
    <w:rsid w:val="00B10875"/>
    <w:rsid w:val="00B12F3E"/>
    <w:rsid w:val="00B15567"/>
    <w:rsid w:val="00B178AF"/>
    <w:rsid w:val="00B24A1A"/>
    <w:rsid w:val="00B250A5"/>
    <w:rsid w:val="00B414E2"/>
    <w:rsid w:val="00B42D27"/>
    <w:rsid w:val="00B43216"/>
    <w:rsid w:val="00B5415C"/>
    <w:rsid w:val="00B543A9"/>
    <w:rsid w:val="00B555A3"/>
    <w:rsid w:val="00B55EEB"/>
    <w:rsid w:val="00B60586"/>
    <w:rsid w:val="00B60837"/>
    <w:rsid w:val="00B6717F"/>
    <w:rsid w:val="00B716E0"/>
    <w:rsid w:val="00B808AC"/>
    <w:rsid w:val="00B81448"/>
    <w:rsid w:val="00B8186C"/>
    <w:rsid w:val="00B923C0"/>
    <w:rsid w:val="00B95F61"/>
    <w:rsid w:val="00B97F6F"/>
    <w:rsid w:val="00BA5039"/>
    <w:rsid w:val="00BB19CA"/>
    <w:rsid w:val="00BD1A91"/>
    <w:rsid w:val="00BE3C9C"/>
    <w:rsid w:val="00BE477F"/>
    <w:rsid w:val="00BE5DA1"/>
    <w:rsid w:val="00BF0456"/>
    <w:rsid w:val="00BF53C0"/>
    <w:rsid w:val="00C00980"/>
    <w:rsid w:val="00C04344"/>
    <w:rsid w:val="00C04C5C"/>
    <w:rsid w:val="00C20041"/>
    <w:rsid w:val="00C30FBA"/>
    <w:rsid w:val="00C352DE"/>
    <w:rsid w:val="00C3637F"/>
    <w:rsid w:val="00C37013"/>
    <w:rsid w:val="00C40D90"/>
    <w:rsid w:val="00C4496E"/>
    <w:rsid w:val="00C462BA"/>
    <w:rsid w:val="00C547A7"/>
    <w:rsid w:val="00C56A80"/>
    <w:rsid w:val="00C62061"/>
    <w:rsid w:val="00C6263B"/>
    <w:rsid w:val="00C646BD"/>
    <w:rsid w:val="00C65404"/>
    <w:rsid w:val="00C74CCD"/>
    <w:rsid w:val="00C750CF"/>
    <w:rsid w:val="00C8522A"/>
    <w:rsid w:val="00CA4C5A"/>
    <w:rsid w:val="00CA785D"/>
    <w:rsid w:val="00CB2A63"/>
    <w:rsid w:val="00CB4B5E"/>
    <w:rsid w:val="00CB4E4D"/>
    <w:rsid w:val="00CB5F16"/>
    <w:rsid w:val="00CD23D0"/>
    <w:rsid w:val="00CD32CF"/>
    <w:rsid w:val="00CD5BB6"/>
    <w:rsid w:val="00CE157C"/>
    <w:rsid w:val="00CE2CAD"/>
    <w:rsid w:val="00CE309F"/>
    <w:rsid w:val="00CE6CF0"/>
    <w:rsid w:val="00CF54F4"/>
    <w:rsid w:val="00D04D4B"/>
    <w:rsid w:val="00D058A9"/>
    <w:rsid w:val="00D11246"/>
    <w:rsid w:val="00D1175E"/>
    <w:rsid w:val="00D16D8D"/>
    <w:rsid w:val="00D240D4"/>
    <w:rsid w:val="00D24C7E"/>
    <w:rsid w:val="00D3235C"/>
    <w:rsid w:val="00D42824"/>
    <w:rsid w:val="00D42C13"/>
    <w:rsid w:val="00D44ECB"/>
    <w:rsid w:val="00D616A5"/>
    <w:rsid w:val="00D63988"/>
    <w:rsid w:val="00D70187"/>
    <w:rsid w:val="00D72A9C"/>
    <w:rsid w:val="00D7533F"/>
    <w:rsid w:val="00D82C26"/>
    <w:rsid w:val="00D82D0E"/>
    <w:rsid w:val="00D870C9"/>
    <w:rsid w:val="00D905F1"/>
    <w:rsid w:val="00D94E9A"/>
    <w:rsid w:val="00D96F61"/>
    <w:rsid w:val="00DA2ED4"/>
    <w:rsid w:val="00DB1EAC"/>
    <w:rsid w:val="00DB511D"/>
    <w:rsid w:val="00DC068A"/>
    <w:rsid w:val="00DC5BF4"/>
    <w:rsid w:val="00DD7B75"/>
    <w:rsid w:val="00DE4FFD"/>
    <w:rsid w:val="00DF4D43"/>
    <w:rsid w:val="00DF56E3"/>
    <w:rsid w:val="00DF6FE3"/>
    <w:rsid w:val="00E055E3"/>
    <w:rsid w:val="00E13A25"/>
    <w:rsid w:val="00E1660D"/>
    <w:rsid w:val="00E17087"/>
    <w:rsid w:val="00E20098"/>
    <w:rsid w:val="00E20EC6"/>
    <w:rsid w:val="00E25483"/>
    <w:rsid w:val="00E267DF"/>
    <w:rsid w:val="00E356FB"/>
    <w:rsid w:val="00E36216"/>
    <w:rsid w:val="00E37690"/>
    <w:rsid w:val="00E44F13"/>
    <w:rsid w:val="00E66BDE"/>
    <w:rsid w:val="00E7237B"/>
    <w:rsid w:val="00E72A17"/>
    <w:rsid w:val="00E83132"/>
    <w:rsid w:val="00E85891"/>
    <w:rsid w:val="00EA33C2"/>
    <w:rsid w:val="00EB2656"/>
    <w:rsid w:val="00EC2B98"/>
    <w:rsid w:val="00EC5427"/>
    <w:rsid w:val="00EC7AEC"/>
    <w:rsid w:val="00ED212E"/>
    <w:rsid w:val="00ED306D"/>
    <w:rsid w:val="00ED4272"/>
    <w:rsid w:val="00EE1A19"/>
    <w:rsid w:val="00EE2B22"/>
    <w:rsid w:val="00EE4255"/>
    <w:rsid w:val="00EE63E3"/>
    <w:rsid w:val="00EF3C0F"/>
    <w:rsid w:val="00F00A5F"/>
    <w:rsid w:val="00F02056"/>
    <w:rsid w:val="00F06438"/>
    <w:rsid w:val="00F13519"/>
    <w:rsid w:val="00F211EF"/>
    <w:rsid w:val="00F2623D"/>
    <w:rsid w:val="00F35491"/>
    <w:rsid w:val="00F43C1F"/>
    <w:rsid w:val="00F4505D"/>
    <w:rsid w:val="00F470D6"/>
    <w:rsid w:val="00F47A3A"/>
    <w:rsid w:val="00F51402"/>
    <w:rsid w:val="00F520FE"/>
    <w:rsid w:val="00F5361C"/>
    <w:rsid w:val="00F607F9"/>
    <w:rsid w:val="00F60AB0"/>
    <w:rsid w:val="00F61C35"/>
    <w:rsid w:val="00F7378F"/>
    <w:rsid w:val="00F76C9C"/>
    <w:rsid w:val="00F81423"/>
    <w:rsid w:val="00F85433"/>
    <w:rsid w:val="00F85719"/>
    <w:rsid w:val="00F873E1"/>
    <w:rsid w:val="00F92529"/>
    <w:rsid w:val="00F9409F"/>
    <w:rsid w:val="00F95C17"/>
    <w:rsid w:val="00FA06BD"/>
    <w:rsid w:val="00FA5CDC"/>
    <w:rsid w:val="00FA664D"/>
    <w:rsid w:val="00FB5E00"/>
    <w:rsid w:val="00FB74D9"/>
    <w:rsid w:val="00FC2F53"/>
    <w:rsid w:val="00FC7302"/>
    <w:rsid w:val="00FD1406"/>
    <w:rsid w:val="00FD3D55"/>
    <w:rsid w:val="00FE45AA"/>
    <w:rsid w:val="00FF5989"/>
    <w:rsid w:val="151A7E19"/>
    <w:rsid w:val="48E7E366"/>
    <w:rsid w:val="57E99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DF053"/>
  <w15:docId w15:val="{453A0944-8F29-4797-A1F5-2107DAE4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2BC8"/>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790B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1583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BC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F2BC8"/>
  </w:style>
  <w:style w:type="paragraph" w:styleId="Footer">
    <w:name w:val="footer"/>
    <w:basedOn w:val="Normal"/>
    <w:link w:val="FooterChar"/>
    <w:unhideWhenUsed/>
    <w:rsid w:val="003F2BC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3F2BC8"/>
  </w:style>
  <w:style w:type="paragraph" w:customStyle="1" w:styleId="BodyText1">
    <w:name w:val="Body Text1"/>
    <w:link w:val="bodytextCharChar"/>
    <w:qFormat/>
    <w:rsid w:val="003F2BC8"/>
    <w:pPr>
      <w:spacing w:before="260" w:after="100" w:line="260" w:lineRule="exact"/>
    </w:pPr>
    <w:rPr>
      <w:rFonts w:ascii="Arial" w:eastAsia="Times New Roman" w:hAnsi="Arial" w:cs="Arial"/>
      <w:sz w:val="20"/>
      <w:szCs w:val="24"/>
    </w:rPr>
  </w:style>
  <w:style w:type="character" w:customStyle="1" w:styleId="bodytextCharChar">
    <w:name w:val="body text Char Char"/>
    <w:basedOn w:val="DefaultParagraphFont"/>
    <w:link w:val="BodyText1"/>
    <w:rsid w:val="003F2BC8"/>
    <w:rPr>
      <w:rFonts w:ascii="Arial" w:eastAsia="Times New Roman" w:hAnsi="Arial" w:cs="Arial"/>
      <w:sz w:val="20"/>
      <w:szCs w:val="24"/>
    </w:rPr>
  </w:style>
  <w:style w:type="paragraph" w:customStyle="1" w:styleId="tbody">
    <w:name w:val="tbody"/>
    <w:basedOn w:val="Normal"/>
    <w:qFormat/>
    <w:rsid w:val="003F2BC8"/>
    <w:pPr>
      <w:suppressAutoHyphens/>
      <w:spacing w:before="60" w:after="60" w:line="220" w:lineRule="exact"/>
    </w:pPr>
    <w:rPr>
      <w:rFonts w:cs="Times New Roman"/>
      <w:sz w:val="18"/>
    </w:rPr>
  </w:style>
  <w:style w:type="character" w:styleId="Strong">
    <w:name w:val="Strong"/>
    <w:uiPriority w:val="22"/>
    <w:qFormat/>
    <w:rsid w:val="003F2BC8"/>
    <w:rPr>
      <w:b/>
      <w:bCs/>
    </w:rPr>
  </w:style>
  <w:style w:type="paragraph" w:customStyle="1" w:styleId="theader">
    <w:name w:val="theader"/>
    <w:basedOn w:val="Normal"/>
    <w:rsid w:val="003F2BC8"/>
    <w:pPr>
      <w:tabs>
        <w:tab w:val="left" w:pos="2400"/>
      </w:tabs>
      <w:suppressAutoHyphens/>
      <w:spacing w:before="60" w:after="60" w:line="220" w:lineRule="exact"/>
    </w:pPr>
    <w:rPr>
      <w:rFonts w:cs="Times New Roman"/>
      <w:b/>
      <w:color w:val="FFFFFF"/>
      <w:sz w:val="18"/>
      <w:szCs w:val="20"/>
    </w:rPr>
  </w:style>
  <w:style w:type="paragraph" w:styleId="Title">
    <w:name w:val="Title"/>
    <w:basedOn w:val="Normal"/>
    <w:next w:val="Title2"/>
    <w:link w:val="TitleChar"/>
    <w:rsid w:val="003F2BC8"/>
    <w:pPr>
      <w:framePr w:hSpace="180" w:wrap="around" w:vAnchor="page" w:hAnchor="text" w:xAlign="center" w:y="2851"/>
      <w:suppressAutoHyphens/>
      <w:spacing w:after="60" w:line="820" w:lineRule="exact"/>
    </w:pPr>
    <w:rPr>
      <w:color w:val="2895D5"/>
      <w:sz w:val="76"/>
      <w:szCs w:val="66"/>
    </w:rPr>
  </w:style>
  <w:style w:type="character" w:customStyle="1" w:styleId="TitleChar">
    <w:name w:val="Title Char"/>
    <w:basedOn w:val="DefaultParagraphFont"/>
    <w:link w:val="Title"/>
    <w:rsid w:val="003F2BC8"/>
    <w:rPr>
      <w:rFonts w:ascii="Arial" w:eastAsia="Times New Roman" w:hAnsi="Arial" w:cs="Arial"/>
      <w:color w:val="2895D5"/>
      <w:sz w:val="76"/>
      <w:szCs w:val="66"/>
    </w:rPr>
  </w:style>
  <w:style w:type="paragraph" w:customStyle="1" w:styleId="Title2">
    <w:name w:val="Title2"/>
    <w:basedOn w:val="Normal"/>
    <w:next w:val="BodyText1"/>
    <w:rsid w:val="003F2BC8"/>
    <w:pPr>
      <w:framePr w:hSpace="180" w:wrap="around" w:vAnchor="page" w:hAnchor="text" w:xAlign="center" w:y="2851"/>
      <w:suppressAutoHyphens/>
      <w:spacing w:after="60" w:line="520" w:lineRule="exact"/>
    </w:pPr>
    <w:rPr>
      <w:color w:val="595959"/>
      <w:sz w:val="46"/>
      <w:szCs w:val="66"/>
      <w:lang w:val="it-IT"/>
    </w:rPr>
  </w:style>
  <w:style w:type="paragraph" w:styleId="BalloonText">
    <w:name w:val="Balloon Text"/>
    <w:basedOn w:val="Normal"/>
    <w:link w:val="BalloonTextChar"/>
    <w:uiPriority w:val="99"/>
    <w:unhideWhenUsed/>
    <w:rsid w:val="00FD3D55"/>
    <w:rPr>
      <w:rFonts w:ascii="Tahoma" w:hAnsi="Tahoma" w:cs="Tahoma"/>
      <w:sz w:val="16"/>
      <w:szCs w:val="16"/>
    </w:rPr>
  </w:style>
  <w:style w:type="character" w:customStyle="1" w:styleId="BalloonTextChar">
    <w:name w:val="Balloon Text Char"/>
    <w:basedOn w:val="DefaultParagraphFont"/>
    <w:link w:val="BalloonText"/>
    <w:uiPriority w:val="99"/>
    <w:rsid w:val="00FD3D55"/>
    <w:rPr>
      <w:rFonts w:ascii="Tahoma" w:eastAsia="Times New Roman" w:hAnsi="Tahoma" w:cs="Tahoma"/>
      <w:sz w:val="16"/>
      <w:szCs w:val="16"/>
    </w:rPr>
  </w:style>
  <w:style w:type="paragraph" w:styleId="ListParagraph">
    <w:name w:val="List Paragraph"/>
    <w:basedOn w:val="Normal"/>
    <w:uiPriority w:val="34"/>
    <w:qFormat/>
    <w:rsid w:val="009B0933"/>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621454"/>
    <w:rPr>
      <w:i/>
      <w:iCs/>
    </w:rPr>
  </w:style>
  <w:style w:type="character" w:styleId="Hyperlink">
    <w:name w:val="Hyperlink"/>
    <w:basedOn w:val="DefaultParagraphFont"/>
    <w:uiPriority w:val="99"/>
    <w:unhideWhenUsed/>
    <w:rsid w:val="00621454"/>
    <w:rPr>
      <w:color w:val="0000FF"/>
      <w:u w:val="single"/>
    </w:rPr>
  </w:style>
  <w:style w:type="paragraph" w:styleId="NormalWeb">
    <w:name w:val="Normal (Web)"/>
    <w:basedOn w:val="Normal"/>
    <w:uiPriority w:val="99"/>
    <w:unhideWhenUsed/>
    <w:rsid w:val="00AF7FDC"/>
    <w:pPr>
      <w:spacing w:before="100" w:beforeAutospacing="1" w:after="100" w:afterAutospacing="1"/>
    </w:pPr>
    <w:rPr>
      <w:rFonts w:ascii="Times New Roman" w:hAnsi="Times New Roman" w:cs="Times New Roman"/>
    </w:rPr>
  </w:style>
  <w:style w:type="table" w:styleId="TableGrid">
    <w:name w:val="Table Grid"/>
    <w:basedOn w:val="TableNormal"/>
    <w:uiPriority w:val="59"/>
    <w:rsid w:val="00DD7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AAC"/>
    <w:rPr>
      <w:color w:val="808080"/>
    </w:rPr>
  </w:style>
  <w:style w:type="paragraph" w:styleId="NoSpacing">
    <w:name w:val="No Spacing"/>
    <w:uiPriority w:val="1"/>
    <w:qFormat/>
    <w:rsid w:val="00790B4B"/>
    <w:pPr>
      <w:spacing w:after="0" w:line="240" w:lineRule="auto"/>
    </w:pPr>
    <w:rPr>
      <w:rFonts w:ascii="Arial" w:eastAsia="Times New Roman" w:hAnsi="Arial" w:cs="Arial"/>
      <w:sz w:val="24"/>
      <w:szCs w:val="24"/>
    </w:rPr>
  </w:style>
  <w:style w:type="character" w:customStyle="1" w:styleId="Heading1Char">
    <w:name w:val="Heading 1 Char"/>
    <w:basedOn w:val="DefaultParagraphFont"/>
    <w:link w:val="Heading1"/>
    <w:uiPriority w:val="9"/>
    <w:rsid w:val="00790B4B"/>
    <w:rPr>
      <w:rFonts w:asciiTheme="majorHAnsi" w:eastAsiaTheme="majorEastAsia" w:hAnsiTheme="majorHAnsi" w:cstheme="majorBidi"/>
      <w:color w:val="365F91" w:themeColor="accent1" w:themeShade="BF"/>
      <w:sz w:val="32"/>
      <w:szCs w:val="32"/>
    </w:rPr>
  </w:style>
  <w:style w:type="paragraph" w:customStyle="1" w:styleId="Default">
    <w:name w:val="Default"/>
    <w:rsid w:val="000630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unhideWhenUsed/>
    <w:rsid w:val="00DC5BF4"/>
    <w:pPr>
      <w:shd w:val="clear" w:color="auto" w:fill="FFFFFF"/>
    </w:pPr>
    <w:rPr>
      <w:rFonts w:ascii="Open Sans" w:hAnsi="Open Sans" w:cs="Open Sans"/>
      <w:color w:val="212721"/>
      <w:sz w:val="14"/>
      <w:szCs w:val="14"/>
    </w:rPr>
  </w:style>
  <w:style w:type="character" w:customStyle="1" w:styleId="BodyTextChar">
    <w:name w:val="Body Text Char"/>
    <w:basedOn w:val="DefaultParagraphFont"/>
    <w:link w:val="BodyText"/>
    <w:uiPriority w:val="99"/>
    <w:rsid w:val="00DC5BF4"/>
    <w:rPr>
      <w:rFonts w:ascii="Open Sans" w:eastAsia="Times New Roman" w:hAnsi="Open Sans" w:cs="Open Sans"/>
      <w:color w:val="212721"/>
      <w:sz w:val="14"/>
      <w:szCs w:val="14"/>
      <w:shd w:val="clear" w:color="auto" w:fill="FFFFFF"/>
    </w:rPr>
  </w:style>
  <w:style w:type="character" w:styleId="UnresolvedMention">
    <w:name w:val="Unresolved Mention"/>
    <w:basedOn w:val="DefaultParagraphFont"/>
    <w:uiPriority w:val="99"/>
    <w:semiHidden/>
    <w:unhideWhenUsed/>
    <w:rsid w:val="00B42D27"/>
    <w:rPr>
      <w:color w:val="605E5C"/>
      <w:shd w:val="clear" w:color="auto" w:fill="E1DFDD"/>
    </w:rPr>
  </w:style>
  <w:style w:type="character" w:customStyle="1" w:styleId="Heading3Char">
    <w:name w:val="Heading 3 Char"/>
    <w:basedOn w:val="DefaultParagraphFont"/>
    <w:link w:val="Heading3"/>
    <w:uiPriority w:val="9"/>
    <w:semiHidden/>
    <w:rsid w:val="0061583A"/>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6D0EE9"/>
    <w:rPr>
      <w:sz w:val="16"/>
      <w:szCs w:val="16"/>
    </w:rPr>
  </w:style>
  <w:style w:type="paragraph" w:styleId="CommentText">
    <w:name w:val="annotation text"/>
    <w:basedOn w:val="Normal"/>
    <w:link w:val="CommentTextChar"/>
    <w:uiPriority w:val="99"/>
    <w:semiHidden/>
    <w:unhideWhenUsed/>
    <w:rsid w:val="006D0EE9"/>
    <w:rPr>
      <w:sz w:val="20"/>
      <w:szCs w:val="20"/>
    </w:rPr>
  </w:style>
  <w:style w:type="character" w:customStyle="1" w:styleId="CommentTextChar">
    <w:name w:val="Comment Text Char"/>
    <w:basedOn w:val="DefaultParagraphFont"/>
    <w:link w:val="CommentText"/>
    <w:uiPriority w:val="99"/>
    <w:semiHidden/>
    <w:rsid w:val="006D0EE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6D0EE9"/>
    <w:rPr>
      <w:b/>
      <w:bCs/>
    </w:rPr>
  </w:style>
  <w:style w:type="character" w:customStyle="1" w:styleId="CommentSubjectChar">
    <w:name w:val="Comment Subject Char"/>
    <w:basedOn w:val="CommentTextChar"/>
    <w:link w:val="CommentSubject"/>
    <w:uiPriority w:val="99"/>
    <w:semiHidden/>
    <w:rsid w:val="006D0EE9"/>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F262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0974">
      <w:bodyDiv w:val="1"/>
      <w:marLeft w:val="0"/>
      <w:marRight w:val="0"/>
      <w:marTop w:val="0"/>
      <w:marBottom w:val="0"/>
      <w:divBdr>
        <w:top w:val="none" w:sz="0" w:space="0" w:color="auto"/>
        <w:left w:val="none" w:sz="0" w:space="0" w:color="auto"/>
        <w:bottom w:val="none" w:sz="0" w:space="0" w:color="auto"/>
        <w:right w:val="none" w:sz="0" w:space="0" w:color="auto"/>
      </w:divBdr>
    </w:div>
    <w:div w:id="165750792">
      <w:bodyDiv w:val="1"/>
      <w:marLeft w:val="0"/>
      <w:marRight w:val="0"/>
      <w:marTop w:val="0"/>
      <w:marBottom w:val="0"/>
      <w:divBdr>
        <w:top w:val="none" w:sz="0" w:space="0" w:color="auto"/>
        <w:left w:val="none" w:sz="0" w:space="0" w:color="auto"/>
        <w:bottom w:val="none" w:sz="0" w:space="0" w:color="auto"/>
        <w:right w:val="none" w:sz="0" w:space="0" w:color="auto"/>
      </w:divBdr>
    </w:div>
    <w:div w:id="684671319">
      <w:bodyDiv w:val="1"/>
      <w:marLeft w:val="0"/>
      <w:marRight w:val="0"/>
      <w:marTop w:val="0"/>
      <w:marBottom w:val="0"/>
      <w:divBdr>
        <w:top w:val="none" w:sz="0" w:space="0" w:color="auto"/>
        <w:left w:val="none" w:sz="0" w:space="0" w:color="auto"/>
        <w:bottom w:val="none" w:sz="0" w:space="0" w:color="auto"/>
        <w:right w:val="none" w:sz="0" w:space="0" w:color="auto"/>
      </w:divBdr>
    </w:div>
    <w:div w:id="690572775">
      <w:bodyDiv w:val="1"/>
      <w:marLeft w:val="0"/>
      <w:marRight w:val="0"/>
      <w:marTop w:val="0"/>
      <w:marBottom w:val="0"/>
      <w:divBdr>
        <w:top w:val="none" w:sz="0" w:space="0" w:color="auto"/>
        <w:left w:val="none" w:sz="0" w:space="0" w:color="auto"/>
        <w:bottom w:val="none" w:sz="0" w:space="0" w:color="auto"/>
        <w:right w:val="none" w:sz="0" w:space="0" w:color="auto"/>
      </w:divBdr>
    </w:div>
    <w:div w:id="735321922">
      <w:bodyDiv w:val="1"/>
      <w:marLeft w:val="0"/>
      <w:marRight w:val="0"/>
      <w:marTop w:val="0"/>
      <w:marBottom w:val="0"/>
      <w:divBdr>
        <w:top w:val="none" w:sz="0" w:space="0" w:color="auto"/>
        <w:left w:val="none" w:sz="0" w:space="0" w:color="auto"/>
        <w:bottom w:val="none" w:sz="0" w:space="0" w:color="auto"/>
        <w:right w:val="none" w:sz="0" w:space="0" w:color="auto"/>
      </w:divBdr>
    </w:div>
    <w:div w:id="767965612">
      <w:bodyDiv w:val="1"/>
      <w:marLeft w:val="0"/>
      <w:marRight w:val="0"/>
      <w:marTop w:val="0"/>
      <w:marBottom w:val="0"/>
      <w:divBdr>
        <w:top w:val="none" w:sz="0" w:space="0" w:color="auto"/>
        <w:left w:val="none" w:sz="0" w:space="0" w:color="auto"/>
        <w:bottom w:val="none" w:sz="0" w:space="0" w:color="auto"/>
        <w:right w:val="none" w:sz="0" w:space="0" w:color="auto"/>
      </w:divBdr>
    </w:div>
    <w:div w:id="1258296998">
      <w:bodyDiv w:val="1"/>
      <w:marLeft w:val="0"/>
      <w:marRight w:val="0"/>
      <w:marTop w:val="0"/>
      <w:marBottom w:val="0"/>
      <w:divBdr>
        <w:top w:val="none" w:sz="0" w:space="0" w:color="auto"/>
        <w:left w:val="none" w:sz="0" w:space="0" w:color="auto"/>
        <w:bottom w:val="none" w:sz="0" w:space="0" w:color="auto"/>
        <w:right w:val="none" w:sz="0" w:space="0" w:color="auto"/>
      </w:divBdr>
    </w:div>
    <w:div w:id="1259173464">
      <w:bodyDiv w:val="1"/>
      <w:marLeft w:val="0"/>
      <w:marRight w:val="0"/>
      <w:marTop w:val="0"/>
      <w:marBottom w:val="0"/>
      <w:divBdr>
        <w:top w:val="none" w:sz="0" w:space="0" w:color="auto"/>
        <w:left w:val="none" w:sz="0" w:space="0" w:color="auto"/>
        <w:bottom w:val="none" w:sz="0" w:space="0" w:color="auto"/>
        <w:right w:val="none" w:sz="0" w:space="0" w:color="auto"/>
      </w:divBdr>
    </w:div>
    <w:div w:id="1374422591">
      <w:bodyDiv w:val="1"/>
      <w:marLeft w:val="0"/>
      <w:marRight w:val="0"/>
      <w:marTop w:val="0"/>
      <w:marBottom w:val="0"/>
      <w:divBdr>
        <w:top w:val="none" w:sz="0" w:space="0" w:color="auto"/>
        <w:left w:val="none" w:sz="0" w:space="0" w:color="auto"/>
        <w:bottom w:val="none" w:sz="0" w:space="0" w:color="auto"/>
        <w:right w:val="none" w:sz="0" w:space="0" w:color="auto"/>
      </w:divBdr>
    </w:div>
    <w:div w:id="1535190735">
      <w:bodyDiv w:val="1"/>
      <w:marLeft w:val="0"/>
      <w:marRight w:val="0"/>
      <w:marTop w:val="0"/>
      <w:marBottom w:val="0"/>
      <w:divBdr>
        <w:top w:val="none" w:sz="0" w:space="0" w:color="auto"/>
        <w:left w:val="none" w:sz="0" w:space="0" w:color="auto"/>
        <w:bottom w:val="none" w:sz="0" w:space="0" w:color="auto"/>
        <w:right w:val="none" w:sz="0" w:space="0" w:color="auto"/>
      </w:divBdr>
    </w:div>
    <w:div w:id="1645771690">
      <w:bodyDiv w:val="1"/>
      <w:marLeft w:val="0"/>
      <w:marRight w:val="0"/>
      <w:marTop w:val="0"/>
      <w:marBottom w:val="0"/>
      <w:divBdr>
        <w:top w:val="none" w:sz="0" w:space="0" w:color="auto"/>
        <w:left w:val="none" w:sz="0" w:space="0" w:color="auto"/>
        <w:bottom w:val="none" w:sz="0" w:space="0" w:color="auto"/>
        <w:right w:val="none" w:sz="0" w:space="0" w:color="auto"/>
      </w:divBdr>
    </w:div>
    <w:div w:id="181340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todate.com/contents/overview-of-the-management-of-epidermolysis-bullosa?search=dystrophic%20epidermolysis%20bullosa&amp;topicRef=15449&amp;source=see_link" TargetMode="External"/><Relationship Id="rId18" Type="http://schemas.openxmlformats.org/officeDocument/2006/relationships/hyperlink" Target="https://academic.oup.com/bjd/article/182/3/e98/673152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clinicaltrials.gov/ct2/show/NCT03068780?term=03068780&amp;draw=2&amp;rank=1" TargetMode="External"/><Relationship Id="rId7" Type="http://schemas.openxmlformats.org/officeDocument/2006/relationships/settings" Target="settings.xml"/><Relationship Id="rId12" Type="http://schemas.openxmlformats.org/officeDocument/2006/relationships/hyperlink" Target="https://www.uptodate.com/contents/epidermolysis-bullosa-epidemiology-pathogenesis-classification-and-clinical-features?search=dystrophic%20epidermolysis%20bullosa&amp;source=search_result&amp;selectedTitle=1~19&amp;usage_type=default&amp;display_rank=1" TargetMode="External"/><Relationship Id="rId17" Type="http://schemas.openxmlformats.org/officeDocument/2006/relationships/hyperlink" Target="https://www.fda.gov/news-events/press-announcements/fda-approves-first-topical-gene-therapy-treatment-wounds-patients-dystrophic-epidermolysis-bullos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cbi.nlm.nih.gov/books/NBK1304/" TargetMode="External"/><Relationship Id="rId20" Type="http://schemas.openxmlformats.org/officeDocument/2006/relationships/hyperlink" Target="https://clinicaltrials.gov/ct2/show/NCT04227106?term=04227106&amp;draw=2&amp;rank=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trials.gov/ct2/show/NCT04491604?term=beremagene&amp;draw=2&amp;rank=3"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rarediseases.org/rare-diseases/epidermolysis-bullos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linicaltrials.gov/ct2/show/NCT04213261?term=NCT04213261&amp;draw=2&amp;rank=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todate.com/contents/diagnosis-of-epidermolysis-bullosa?search=dystrophic%20epidermolysis%20bullosa&amp;topicRef=15449&amp;source=see_link" TargetMode="External"/><Relationship Id="rId22" Type="http://schemas.openxmlformats.org/officeDocument/2006/relationships/hyperlink" Target="https://www.globenewswire.com/news-release/2022/02/28/2393303/0/en/Amryt-Receives-Complete-Response-Letter-from-the-FDA-for-Oleogel-S10-NDA.html"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A2E939178FB5478234DE8630B24CB5" ma:contentTypeVersion="17" ma:contentTypeDescription="Create a new document." ma:contentTypeScope="" ma:versionID="f624e176d4275f3fb37869b275732204">
  <xsd:schema xmlns:xsd="http://www.w3.org/2001/XMLSchema" xmlns:xs="http://www.w3.org/2001/XMLSchema" xmlns:p="http://schemas.microsoft.com/office/2006/metadata/properties" xmlns:ns1="http://schemas.microsoft.com/sharepoint/v3" xmlns:ns2="54a97082-99d0-4cd5-8c93-88769c19209d" xmlns:ns3="1e4a61f8-8acd-406c-9ffc-156367cd3fec" targetNamespace="http://schemas.microsoft.com/office/2006/metadata/properties" ma:root="true" ma:fieldsID="d7dfe3ae322c74173f16ccd82b4636cd" ns1:_="" ns2:_="" ns3:_="">
    <xsd:import namespace="http://schemas.microsoft.com/sharepoint/v3"/>
    <xsd:import namespace="54a97082-99d0-4cd5-8c93-88769c19209d"/>
    <xsd:import namespace="1e4a61f8-8acd-406c-9ffc-156367cd3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ObjectDetectorVersion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97082-99d0-4cd5-8c93-88769c192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6d01eb-f638-48a2-9fd9-17511f904c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4a61f8-8acd-406c-9ffc-156367cd3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88a78f-eebd-4a3b-8b2f-5994ecc51ee0}" ma:internalName="TaxCatchAll" ma:showField="CatchAllData" ma:web="1e4a61f8-8acd-406c-9ffc-156367cd3fe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1e4a61f8-8acd-406c-9ffc-156367cd3fec" xsi:nil="true"/>
    <lcf76f155ced4ddcb4097134ff3c332f xmlns="54a97082-99d0-4cd5-8c93-88769c1920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7E83D0-D932-4644-904F-12E26380FFF8}">
  <ds:schemaRefs>
    <ds:schemaRef ds:uri="http://schemas.microsoft.com/sharepoint/v3/contenttype/forms"/>
  </ds:schemaRefs>
</ds:datastoreItem>
</file>

<file path=customXml/itemProps2.xml><?xml version="1.0" encoding="utf-8"?>
<ds:datastoreItem xmlns:ds="http://schemas.openxmlformats.org/officeDocument/2006/customXml" ds:itemID="{FA041F85-B1F0-47C7-B8AB-5CF4F35A491E}">
  <ds:schemaRefs>
    <ds:schemaRef ds:uri="http://schemas.openxmlformats.org/officeDocument/2006/bibliography"/>
  </ds:schemaRefs>
</ds:datastoreItem>
</file>

<file path=customXml/itemProps3.xml><?xml version="1.0" encoding="utf-8"?>
<ds:datastoreItem xmlns:ds="http://schemas.openxmlformats.org/officeDocument/2006/customXml" ds:itemID="{479C8D99-F829-4EF5-9212-576C533C2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a97082-99d0-4cd5-8c93-88769c19209d"/>
    <ds:schemaRef ds:uri="1e4a61f8-8acd-406c-9ffc-156367cd3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877B8-A1C8-453C-BFA6-80C76CDCB016}">
  <ds:schemaRefs>
    <ds:schemaRef ds:uri="http://schemas.microsoft.com/office/2006/metadata/properties"/>
    <ds:schemaRef ds:uri="http://schemas.microsoft.com/sharepoint/v3"/>
    <ds:schemaRef ds:uri="1e4a61f8-8acd-406c-9ffc-156367cd3fec"/>
    <ds:schemaRef ds:uri="54a97082-99d0-4cd5-8c93-88769c19209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ACS - A Xerox Company</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Janelle Sheen</dc:creator>
  <cp:lastModifiedBy>Crowley, John</cp:lastModifiedBy>
  <cp:revision>5</cp:revision>
  <dcterms:created xsi:type="dcterms:W3CDTF">2023-07-06T00:28:00Z</dcterms:created>
  <dcterms:modified xsi:type="dcterms:W3CDTF">2023-09-25T19:08:00Z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0x010100EAA2E939178FB5478234DE8630B24CB5</vt:lpwstr>
  </property>
  <property fmtid="{D5CDD505-2E9C-101B-9397-08002B2CF9AE}" pid="3" name="AuthorIds_UIVersion_1024">
    <vt:lpwstr>11</vt:lpwstr>
  </property>
  <property fmtid="{D5CDD505-2E9C-101B-9397-08002B2CF9AE}" pid="4" name="MediaServiceImageTags">
    <vt:lpwstr/>
  </property>
</Properties>
</file>