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2E7C248" w:rsidR="004C5767" w:rsidRPr="006560B3" w:rsidRDefault="004C5767" w:rsidP="00D27533">
      <w:pPr>
        <w:pStyle w:val="tbody"/>
        <w:rPr>
          <w:b w:val="0"/>
        </w:rPr>
      </w:pPr>
      <w:r w:rsidRPr="00C02553">
        <w:t>Drug/Drug Class:</w:t>
      </w:r>
      <w:r w:rsidR="006560B3">
        <w:rPr>
          <w:b w:val="0"/>
        </w:rPr>
        <w:t xml:space="preserve"> </w:t>
      </w:r>
      <w:r w:rsidR="00701FD5" w:rsidRPr="00701FD5">
        <w:rPr>
          <w:b w:val="0"/>
        </w:rPr>
        <w:t>Vykat™ XR Clinical Edit</w:t>
      </w:r>
    </w:p>
    <w:p w14:paraId="7AD7FFCE" w14:textId="2C3FE41B" w:rsidR="004C5767" w:rsidRPr="006560B3" w:rsidRDefault="004C5767" w:rsidP="00D27533">
      <w:pPr>
        <w:pStyle w:val="tbody"/>
        <w:rPr>
          <w:b w:val="0"/>
        </w:rPr>
      </w:pPr>
      <w:r w:rsidRPr="00C02553">
        <w:t>First Implementation Date:</w:t>
      </w:r>
      <w:r w:rsidR="006560B3">
        <w:rPr>
          <w:b w:val="0"/>
        </w:rPr>
        <w:t xml:space="preserve"> </w:t>
      </w:r>
      <w:r w:rsidR="00701FD5">
        <w:rPr>
          <w:b w:val="0"/>
        </w:rPr>
        <w:t>February 19, 2026</w:t>
      </w:r>
    </w:p>
    <w:p w14:paraId="4B7D760D" w14:textId="52B00EE3" w:rsidR="004C5767" w:rsidRPr="00D232D9" w:rsidRDefault="004540E3" w:rsidP="15EB50BA">
      <w:pPr>
        <w:pStyle w:val="tbody"/>
        <w:rPr>
          <w:b w:val="0"/>
        </w:rPr>
      </w:pPr>
      <w:r>
        <w:t>Revised</w:t>
      </w:r>
      <w:r w:rsidR="004C5767">
        <w:t xml:space="preserve"> Date:</w:t>
      </w:r>
      <w:r w:rsidR="00065C22">
        <w:t xml:space="preserve"> </w:t>
      </w:r>
      <w:r>
        <w:rPr>
          <w:b w:val="0"/>
        </w:rPr>
        <w:t>February</w:t>
      </w:r>
      <w:r w:rsidR="00D232D9">
        <w:rPr>
          <w:b w:val="0"/>
        </w:rPr>
        <w:t xml:space="preserve"> </w:t>
      </w:r>
      <w:r>
        <w:rPr>
          <w:b w:val="0"/>
        </w:rPr>
        <w:t>19</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6B2FCDC" w:rsidR="004C5767" w:rsidRPr="00D27533" w:rsidRDefault="004C5767" w:rsidP="00D27533">
      <w:pPr>
        <w:pStyle w:val="tbody"/>
        <w:rPr>
          <w:b w:val="0"/>
          <w:bCs/>
          <w:spacing w:val="-3"/>
        </w:rPr>
      </w:pPr>
      <w:r w:rsidRPr="007773E8">
        <w:t xml:space="preserve">Criteria Status: </w:t>
      </w:r>
      <w:r w:rsidR="00B5467B" w:rsidRPr="00B5467B">
        <w:rPr>
          <w:b w:val="0"/>
          <w:bCs/>
          <w:spacing w:val="-3"/>
        </w:rPr>
        <w:t>New</w:t>
      </w:r>
      <w:r w:rsidR="00566BE4" w:rsidRPr="00B5467B">
        <w:rPr>
          <w:b w:val="0"/>
          <w:bCs/>
          <w:spacing w:val="-3"/>
        </w:rPr>
        <w:t xml:space="preserve">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6E217147" w:rsidR="00D47996" w:rsidRDefault="79EEA449" w:rsidP="00696E3A">
      <w:r>
        <w:t>Ensure appropriate utilization and control of</w:t>
      </w:r>
      <w:r w:rsidR="00D47996">
        <w:t xml:space="preserve"> </w:t>
      </w:r>
      <w:r w:rsidR="00613078" w:rsidRPr="00A1657D">
        <w:rPr>
          <w:rFonts w:cs="Arial"/>
        </w:rPr>
        <w:t>Vykat™ XR</w:t>
      </w:r>
      <w:r w:rsidR="00613078">
        <w:rPr>
          <w:rFonts w:cs="Arial"/>
          <w:spacing w:val="-3"/>
        </w:rPr>
        <w:t xml:space="preserve"> </w:t>
      </w:r>
      <w:r w:rsidR="00613078" w:rsidRPr="00624C9F">
        <w:rPr>
          <w:rFonts w:cs="Arial"/>
        </w:rPr>
        <w:t>(</w:t>
      </w:r>
      <w:r w:rsidR="00613078" w:rsidRPr="00F95A7E">
        <w:rPr>
          <w:rFonts w:cs="Arial"/>
        </w:rPr>
        <w:t>diazoxide choline)</w:t>
      </w:r>
      <w:r w:rsidR="00613078">
        <w:rPr>
          <w:rFonts w:cs="Arial"/>
        </w:rPr>
        <w:t>.</w:t>
      </w:r>
      <w:r w:rsidR="00351E4B" w:rsidRPr="00351E4B">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1D32D2B" w14:textId="77777777" w:rsidR="00FB0662" w:rsidRDefault="00FB0662" w:rsidP="00FB0662">
      <w:pPr>
        <w:pStyle w:val="NoSpacing"/>
        <w:contextualSpacing/>
        <w:rPr>
          <w:sz w:val="20"/>
          <w:szCs w:val="20"/>
        </w:rPr>
      </w:pPr>
      <w:r w:rsidRPr="00837069">
        <w:rPr>
          <w:sz w:val="20"/>
          <w:szCs w:val="20"/>
        </w:rPr>
        <w:t>Prader-Willi syndrome</w:t>
      </w:r>
      <w:r w:rsidRPr="00837069">
        <w:rPr>
          <w:color w:val="000000" w:themeColor="text1"/>
          <w:sz w:val="20"/>
          <w:szCs w:val="20"/>
        </w:rPr>
        <w:t xml:space="preserve"> is a rare and complex genetic multisystem disorder</w:t>
      </w:r>
      <w:r w:rsidRPr="008D3C9E">
        <w:rPr>
          <w:color w:val="000000" w:themeColor="text1"/>
          <w:sz w:val="20"/>
          <w:szCs w:val="20"/>
        </w:rPr>
        <w:t xml:space="preserve">, </w:t>
      </w:r>
      <w:r w:rsidRPr="00837069">
        <w:rPr>
          <w:sz w:val="20"/>
          <w:szCs w:val="20"/>
        </w:rPr>
        <w:t xml:space="preserve">estimated </w:t>
      </w:r>
      <w:r>
        <w:rPr>
          <w:sz w:val="20"/>
          <w:szCs w:val="20"/>
        </w:rPr>
        <w:t>to occur</w:t>
      </w:r>
      <w:r w:rsidRPr="00837069">
        <w:rPr>
          <w:sz w:val="20"/>
          <w:szCs w:val="20"/>
        </w:rPr>
        <w:t xml:space="preserve"> in approximately 1 in every 15,000 live births.</w:t>
      </w:r>
      <w:r>
        <w:rPr>
          <w:sz w:val="20"/>
          <w:szCs w:val="20"/>
        </w:rPr>
        <w:t xml:space="preserve"> </w:t>
      </w:r>
      <w:r w:rsidRPr="00CC7E37">
        <w:rPr>
          <w:sz w:val="20"/>
          <w:szCs w:val="20"/>
        </w:rPr>
        <w:t>PWS is characterized by severe hypotonia and feeding difficulties in early infancy, followed in later infancy or early childhood by excessive eating and gradual development of morbid obesity.</w:t>
      </w:r>
      <w:r>
        <w:rPr>
          <w:sz w:val="20"/>
          <w:szCs w:val="20"/>
        </w:rPr>
        <w:t xml:space="preserve"> </w:t>
      </w:r>
      <w:r w:rsidRPr="00155A50">
        <w:rPr>
          <w:sz w:val="20"/>
          <w:szCs w:val="20"/>
        </w:rPr>
        <w:t>Hyperphagia, present in 90-100% of patients, is thought to be due to a hypothalamic abnormality that causes lack of satiety, but its mechanism is not understood.</w:t>
      </w:r>
    </w:p>
    <w:p w14:paraId="3D788883" w14:textId="77777777" w:rsidR="00FB0662" w:rsidRDefault="00FB0662" w:rsidP="00FB0662">
      <w:pPr>
        <w:pStyle w:val="NoSpacing"/>
        <w:contextualSpacing/>
        <w:rPr>
          <w:sz w:val="20"/>
          <w:szCs w:val="20"/>
        </w:rPr>
      </w:pPr>
    </w:p>
    <w:p w14:paraId="5419E4C7" w14:textId="77777777" w:rsidR="00FB0662" w:rsidRPr="00837069" w:rsidRDefault="00FB0662" w:rsidP="00FB0662">
      <w:pPr>
        <w:pStyle w:val="NoSpacing"/>
        <w:contextualSpacing/>
        <w:rPr>
          <w:sz w:val="20"/>
          <w:szCs w:val="20"/>
        </w:rPr>
      </w:pPr>
      <w:r w:rsidRPr="00A1657D">
        <w:rPr>
          <w:sz w:val="20"/>
          <w:szCs w:val="20"/>
        </w:rPr>
        <w:t>Vykat</w:t>
      </w:r>
      <w:r w:rsidRPr="008715FF">
        <w:rPr>
          <w:sz w:val="20"/>
          <w:szCs w:val="20"/>
          <w:vertAlign w:val="superscript"/>
        </w:rPr>
        <w:t>™</w:t>
      </w:r>
      <w:r>
        <w:rPr>
          <w:sz w:val="20"/>
          <w:szCs w:val="20"/>
        </w:rPr>
        <w:t xml:space="preserve"> XR is indicated for the treatment of hyperphagia in adults and pediatric patients 4 years of age and older with Prader-Willi syndrome (PWS).  </w:t>
      </w:r>
      <w:r w:rsidRPr="00A1657D">
        <w:rPr>
          <w:sz w:val="20"/>
          <w:szCs w:val="20"/>
        </w:rPr>
        <w:t>Vykat</w:t>
      </w:r>
      <w:r w:rsidRPr="00553574">
        <w:rPr>
          <w:sz w:val="20"/>
          <w:szCs w:val="20"/>
        </w:rPr>
        <w:t xml:space="preserve"> XR is the first FDA-approved treatment to address hyperphagia associated with PWS.</w:t>
      </w:r>
      <w:r>
        <w:rPr>
          <w:sz w:val="20"/>
          <w:szCs w:val="20"/>
        </w:rPr>
        <w:t xml:space="preserve"> The goal of </w:t>
      </w:r>
      <w:r w:rsidRPr="00A1657D">
        <w:rPr>
          <w:sz w:val="20"/>
          <w:szCs w:val="20"/>
        </w:rPr>
        <w:t>Vykat</w:t>
      </w:r>
      <w:r>
        <w:rPr>
          <w:sz w:val="20"/>
          <w:szCs w:val="20"/>
        </w:rPr>
        <w:t xml:space="preserve"> XR therapy in the treatment of hyperphagia is not to solely target weight loss but to reduce hyperphagia and food seeking behaviors that subsequently lead to weight gain and improve patient and caregiver quality of life.</w:t>
      </w:r>
    </w:p>
    <w:p w14:paraId="006A824F" w14:textId="77777777" w:rsidR="00FB0662" w:rsidRPr="00232B86" w:rsidRDefault="00FB0662" w:rsidP="00FB0662">
      <w:pPr>
        <w:pStyle w:val="Header"/>
        <w:rPr>
          <w:rFonts w:eastAsia="Arial"/>
          <w:sz w:val="20"/>
        </w:rPr>
      </w:pPr>
    </w:p>
    <w:p w14:paraId="6E51C725" w14:textId="1115C647" w:rsidR="00351E4B" w:rsidRDefault="00FB0662" w:rsidP="00FB0662">
      <w:pPr>
        <w:rPr>
          <w:rFonts w:eastAsia="Arial"/>
        </w:rPr>
      </w:pPr>
      <w:r w:rsidRPr="00232B86">
        <w:rPr>
          <w:rFonts w:cs="Arial"/>
          <w:spacing w:val="-3"/>
        </w:rPr>
        <w:t xml:space="preserve">Due to the high cost and specific approved indication, MO HealthNet will impose clinical criteria to ensure appropriate utilization of </w:t>
      </w:r>
      <w:r w:rsidRPr="00A1657D">
        <w:rPr>
          <w:rFonts w:cs="Arial"/>
        </w:rPr>
        <w:t>Vykat XR</w:t>
      </w:r>
      <w:r>
        <w:rPr>
          <w:rFonts w:cs="Arial"/>
          <w:spacing w:val="-3"/>
        </w:rPr>
        <w:t xml:space="preserve"> for </w:t>
      </w:r>
      <w:r>
        <w:rPr>
          <w:rFonts w:eastAsia="Arial"/>
        </w:rPr>
        <w:t>hyperphagia in participants with Prader-Willi Syndrome (PWS).</w:t>
      </w:r>
    </w:p>
    <w:p w14:paraId="19EDB480" w14:textId="77777777" w:rsidR="00FB0662" w:rsidRDefault="00FB0662" w:rsidP="00FB0662"/>
    <w:p w14:paraId="5B5260CF" w14:textId="673321DF" w:rsidR="003D4704" w:rsidRPr="00AD17B7" w:rsidRDefault="003D4704" w:rsidP="003D4704">
      <w:r>
        <w:rPr>
          <w:b/>
          <w:bCs/>
        </w:rPr>
        <w:t xml:space="preserve">Program-Specific Information: </w:t>
      </w:r>
      <w:r>
        <w:t>Dat</w:t>
      </w:r>
      <w:r w:rsidR="00ED760F">
        <w:t>e</w:t>
      </w:r>
      <w:r>
        <w:t xml:space="preserve"> Range FFS </w:t>
      </w:r>
      <w:r w:rsidR="004F7FEA">
        <w:t>7</w:t>
      </w:r>
      <w:r>
        <w:t xml:space="preserve">-1-2024 to </w:t>
      </w:r>
      <w:r w:rsidR="004F7FEA">
        <w:t>6</w:t>
      </w:r>
      <w:r>
        <w:t>-30-2025</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1383"/>
        <w:gridCol w:w="1329"/>
        <w:gridCol w:w="2279"/>
        <w:gridCol w:w="1715"/>
      </w:tblGrid>
      <w:tr w:rsidR="00C064B9" w:rsidRPr="00902CF9" w14:paraId="7E639B47" w14:textId="11AFAB32" w:rsidTr="00BC31BE">
        <w:trPr>
          <w:trHeight w:val="232"/>
          <w:jc w:val="center"/>
        </w:trPr>
        <w:tc>
          <w:tcPr>
            <w:tcW w:w="2790" w:type="dxa"/>
            <w:shd w:val="clear" w:color="auto" w:fill="FABF8F" w:themeFill="accent6" w:themeFillTint="99"/>
            <w:vAlign w:val="center"/>
          </w:tcPr>
          <w:p w14:paraId="0258BA66" w14:textId="08D081F4" w:rsidR="00C064B9" w:rsidRPr="00902CF9" w:rsidRDefault="00C064B9" w:rsidP="00C064B9">
            <w:pPr>
              <w:jc w:val="center"/>
              <w:rPr>
                <w:rFonts w:cs="Arial"/>
                <w:b/>
                <w:bCs/>
                <w:spacing w:val="-3"/>
                <w:szCs w:val="20"/>
              </w:rPr>
            </w:pPr>
            <w:r w:rsidRPr="0068388E">
              <w:rPr>
                <w:rFonts w:cs="Arial"/>
                <w:b/>
                <w:bCs/>
                <w:spacing w:val="-3"/>
                <w:szCs w:val="20"/>
              </w:rPr>
              <w:t>Drug</w:t>
            </w:r>
          </w:p>
        </w:tc>
        <w:tc>
          <w:tcPr>
            <w:tcW w:w="1383" w:type="dxa"/>
            <w:shd w:val="clear" w:color="auto" w:fill="FABF8F" w:themeFill="accent6" w:themeFillTint="99"/>
            <w:vAlign w:val="center"/>
          </w:tcPr>
          <w:p w14:paraId="20F37C53" w14:textId="65BF308B" w:rsidR="00C064B9" w:rsidRPr="00902CF9" w:rsidRDefault="00C064B9" w:rsidP="00C064B9">
            <w:pPr>
              <w:jc w:val="center"/>
              <w:rPr>
                <w:rFonts w:cs="Arial"/>
                <w:b/>
                <w:bCs/>
                <w:spacing w:val="-3"/>
                <w:szCs w:val="20"/>
              </w:rPr>
            </w:pPr>
            <w:r w:rsidRPr="0068388E">
              <w:rPr>
                <w:rFonts w:cs="Arial"/>
                <w:b/>
                <w:spacing w:val="-3"/>
                <w:szCs w:val="20"/>
              </w:rPr>
              <w:t>Participants</w:t>
            </w:r>
          </w:p>
        </w:tc>
        <w:tc>
          <w:tcPr>
            <w:tcW w:w="1329" w:type="dxa"/>
            <w:shd w:val="clear" w:color="auto" w:fill="FABF8F" w:themeFill="accent6" w:themeFillTint="99"/>
            <w:vAlign w:val="center"/>
          </w:tcPr>
          <w:p w14:paraId="37F54882" w14:textId="525A1C86" w:rsidR="00C064B9" w:rsidRPr="00902CF9" w:rsidRDefault="00C064B9" w:rsidP="00C064B9">
            <w:pPr>
              <w:jc w:val="center"/>
              <w:rPr>
                <w:rFonts w:cs="Arial"/>
                <w:b/>
                <w:bCs/>
                <w:spacing w:val="-3"/>
                <w:szCs w:val="20"/>
              </w:rPr>
            </w:pPr>
            <w:r w:rsidRPr="0068388E">
              <w:rPr>
                <w:rFonts w:cs="Arial"/>
                <w:b/>
                <w:bCs/>
                <w:spacing w:val="-3"/>
                <w:szCs w:val="20"/>
              </w:rPr>
              <w:t>Claims</w:t>
            </w:r>
          </w:p>
        </w:tc>
        <w:tc>
          <w:tcPr>
            <w:tcW w:w="2279" w:type="dxa"/>
            <w:shd w:val="clear" w:color="auto" w:fill="FABF8F" w:themeFill="accent6" w:themeFillTint="99"/>
            <w:vAlign w:val="center"/>
          </w:tcPr>
          <w:p w14:paraId="57EB713A" w14:textId="6B6182CC" w:rsidR="00C064B9" w:rsidRPr="00902CF9" w:rsidRDefault="00C064B9" w:rsidP="00C064B9">
            <w:pPr>
              <w:jc w:val="center"/>
              <w:rPr>
                <w:rFonts w:cs="Arial"/>
                <w:b/>
                <w:bCs/>
                <w:spacing w:val="-3"/>
                <w:szCs w:val="20"/>
              </w:rPr>
            </w:pPr>
            <w:r w:rsidRPr="0068388E">
              <w:rPr>
                <w:rFonts w:cs="Arial"/>
                <w:b/>
                <w:spacing w:val="-3"/>
                <w:szCs w:val="20"/>
              </w:rPr>
              <w:t>Spend</w:t>
            </w:r>
          </w:p>
        </w:tc>
        <w:tc>
          <w:tcPr>
            <w:tcW w:w="1715" w:type="dxa"/>
            <w:shd w:val="clear" w:color="auto" w:fill="FABF8F" w:themeFill="accent6" w:themeFillTint="99"/>
            <w:vAlign w:val="center"/>
          </w:tcPr>
          <w:p w14:paraId="1B474AF3" w14:textId="16E3CA84" w:rsidR="00C064B9" w:rsidRPr="00902CF9" w:rsidRDefault="00C064B9" w:rsidP="00BC31BE">
            <w:pPr>
              <w:jc w:val="center"/>
            </w:pPr>
            <w:r w:rsidRPr="0068388E">
              <w:rPr>
                <w:rFonts w:cs="Arial"/>
                <w:b/>
                <w:spacing w:val="-3"/>
                <w:szCs w:val="20"/>
              </w:rPr>
              <w:t>Average Spend per Claim</w:t>
            </w:r>
          </w:p>
        </w:tc>
      </w:tr>
      <w:tr w:rsidR="00961784" w:rsidRPr="00902CF9" w14:paraId="29C2C6B5" w14:textId="3BDCEDEA" w:rsidTr="00BC31BE">
        <w:trPr>
          <w:trHeight w:val="232"/>
          <w:jc w:val="center"/>
        </w:trPr>
        <w:tc>
          <w:tcPr>
            <w:tcW w:w="2790" w:type="dxa"/>
            <w:vAlign w:val="center"/>
          </w:tcPr>
          <w:p w14:paraId="4E48F17F" w14:textId="33DBCEBA" w:rsidR="00961784" w:rsidRPr="00902CF9" w:rsidRDefault="00961784" w:rsidP="00961784">
            <w:pPr>
              <w:rPr>
                <w:rFonts w:cs="Arial"/>
                <w:szCs w:val="20"/>
              </w:rPr>
            </w:pPr>
            <w:r>
              <w:rPr>
                <w:rFonts w:cs="Arial"/>
                <w:spacing w:val="-3"/>
                <w:szCs w:val="20"/>
              </w:rPr>
              <w:t>VYKAT XR 25 MG</w:t>
            </w:r>
          </w:p>
        </w:tc>
        <w:tc>
          <w:tcPr>
            <w:tcW w:w="1383" w:type="dxa"/>
            <w:vAlign w:val="center"/>
          </w:tcPr>
          <w:p w14:paraId="5F6574F8" w14:textId="12968ED0" w:rsidR="00961784" w:rsidRPr="00902CF9" w:rsidRDefault="00961784" w:rsidP="00961784">
            <w:pPr>
              <w:jc w:val="center"/>
              <w:rPr>
                <w:rFonts w:cs="Arial"/>
                <w:szCs w:val="20"/>
              </w:rPr>
            </w:pPr>
            <w:r>
              <w:rPr>
                <w:rFonts w:cs="Arial"/>
                <w:spacing w:val="-3"/>
                <w:szCs w:val="20"/>
              </w:rPr>
              <w:t>-</w:t>
            </w:r>
          </w:p>
        </w:tc>
        <w:tc>
          <w:tcPr>
            <w:tcW w:w="1329" w:type="dxa"/>
            <w:vAlign w:val="center"/>
          </w:tcPr>
          <w:p w14:paraId="52453425" w14:textId="34F181DA" w:rsidR="00961784" w:rsidRPr="00902CF9" w:rsidRDefault="00961784" w:rsidP="00961784">
            <w:pPr>
              <w:jc w:val="center"/>
              <w:rPr>
                <w:rFonts w:cs="Arial"/>
                <w:szCs w:val="20"/>
              </w:rPr>
            </w:pPr>
            <w:r>
              <w:rPr>
                <w:rFonts w:cs="Arial"/>
                <w:spacing w:val="-3"/>
                <w:szCs w:val="20"/>
              </w:rPr>
              <w:t>-</w:t>
            </w:r>
          </w:p>
        </w:tc>
        <w:tc>
          <w:tcPr>
            <w:tcW w:w="2279" w:type="dxa"/>
            <w:vAlign w:val="center"/>
          </w:tcPr>
          <w:p w14:paraId="43EE586B" w14:textId="300F5C31" w:rsidR="00961784" w:rsidRPr="00902CF9" w:rsidRDefault="00961784" w:rsidP="00961784">
            <w:pPr>
              <w:jc w:val="center"/>
              <w:rPr>
                <w:rFonts w:cs="Arial"/>
                <w:szCs w:val="20"/>
              </w:rPr>
            </w:pPr>
            <w:r>
              <w:rPr>
                <w:rFonts w:cs="Arial"/>
                <w:spacing w:val="-3"/>
                <w:szCs w:val="20"/>
              </w:rPr>
              <w:t>-</w:t>
            </w:r>
          </w:p>
        </w:tc>
        <w:tc>
          <w:tcPr>
            <w:tcW w:w="1715" w:type="dxa"/>
            <w:vAlign w:val="center"/>
          </w:tcPr>
          <w:p w14:paraId="259FFA2F" w14:textId="58508F07" w:rsidR="00961784" w:rsidRPr="00902CF9" w:rsidRDefault="00961784" w:rsidP="00961784">
            <w:pPr>
              <w:jc w:val="center"/>
            </w:pPr>
            <w:r>
              <w:rPr>
                <w:spacing w:val="-3"/>
                <w:szCs w:val="20"/>
              </w:rPr>
              <w:t>-</w:t>
            </w:r>
          </w:p>
        </w:tc>
      </w:tr>
      <w:tr w:rsidR="00961784" w:rsidRPr="00902CF9" w14:paraId="0A1EF85E" w14:textId="55E4001F" w:rsidTr="00BC31BE">
        <w:trPr>
          <w:trHeight w:val="232"/>
          <w:jc w:val="center"/>
        </w:trPr>
        <w:tc>
          <w:tcPr>
            <w:tcW w:w="2790" w:type="dxa"/>
            <w:vAlign w:val="center"/>
          </w:tcPr>
          <w:p w14:paraId="77B43C05" w14:textId="258BE778" w:rsidR="00961784" w:rsidRPr="00902CF9" w:rsidRDefault="00961784" w:rsidP="00961784">
            <w:pPr>
              <w:rPr>
                <w:rFonts w:cs="Arial"/>
                <w:szCs w:val="20"/>
              </w:rPr>
            </w:pPr>
            <w:r>
              <w:rPr>
                <w:rFonts w:cs="Arial"/>
                <w:spacing w:val="-3"/>
                <w:szCs w:val="20"/>
              </w:rPr>
              <w:t>VYKAT XR 75 MG</w:t>
            </w:r>
          </w:p>
        </w:tc>
        <w:tc>
          <w:tcPr>
            <w:tcW w:w="1383" w:type="dxa"/>
            <w:vAlign w:val="center"/>
          </w:tcPr>
          <w:p w14:paraId="586F93BC" w14:textId="033BBDF7" w:rsidR="00961784" w:rsidRPr="00902CF9" w:rsidRDefault="00961784" w:rsidP="00961784">
            <w:pPr>
              <w:jc w:val="center"/>
              <w:rPr>
                <w:rFonts w:cs="Arial"/>
                <w:szCs w:val="20"/>
              </w:rPr>
            </w:pPr>
            <w:r>
              <w:rPr>
                <w:rFonts w:cs="Arial"/>
                <w:spacing w:val="-3"/>
                <w:szCs w:val="20"/>
              </w:rPr>
              <w:t>2</w:t>
            </w:r>
          </w:p>
        </w:tc>
        <w:tc>
          <w:tcPr>
            <w:tcW w:w="1329" w:type="dxa"/>
            <w:vAlign w:val="center"/>
          </w:tcPr>
          <w:p w14:paraId="4B838051" w14:textId="25F35844" w:rsidR="00961784" w:rsidRPr="00902CF9" w:rsidRDefault="00961784" w:rsidP="00961784">
            <w:pPr>
              <w:jc w:val="center"/>
              <w:rPr>
                <w:rFonts w:cs="Arial"/>
                <w:szCs w:val="20"/>
              </w:rPr>
            </w:pPr>
            <w:r>
              <w:rPr>
                <w:rFonts w:cs="Arial"/>
                <w:spacing w:val="-3"/>
                <w:szCs w:val="20"/>
              </w:rPr>
              <w:t>3</w:t>
            </w:r>
          </w:p>
        </w:tc>
        <w:tc>
          <w:tcPr>
            <w:tcW w:w="2279" w:type="dxa"/>
            <w:vAlign w:val="bottom"/>
          </w:tcPr>
          <w:p w14:paraId="0EDE8848" w14:textId="038DF0A4" w:rsidR="00961784" w:rsidRPr="00902CF9" w:rsidRDefault="00961784" w:rsidP="00961784">
            <w:pPr>
              <w:jc w:val="center"/>
              <w:rPr>
                <w:rFonts w:cs="Arial"/>
                <w:szCs w:val="20"/>
              </w:rPr>
            </w:pPr>
            <w:r>
              <w:rPr>
                <w:rFonts w:cs="Arial"/>
                <w:szCs w:val="20"/>
              </w:rPr>
              <w:t>$63,074.55</w:t>
            </w:r>
          </w:p>
        </w:tc>
        <w:tc>
          <w:tcPr>
            <w:tcW w:w="1715" w:type="dxa"/>
            <w:vAlign w:val="bottom"/>
          </w:tcPr>
          <w:p w14:paraId="26E592A9" w14:textId="77557614" w:rsidR="00961784" w:rsidRPr="00902CF9" w:rsidRDefault="00961784" w:rsidP="00961784">
            <w:pPr>
              <w:jc w:val="center"/>
            </w:pPr>
            <w:r>
              <w:rPr>
                <w:szCs w:val="20"/>
              </w:rPr>
              <w:t>$21,024.85</w:t>
            </w:r>
          </w:p>
        </w:tc>
      </w:tr>
      <w:tr w:rsidR="00961784" w:rsidRPr="00902CF9" w14:paraId="07975D78" w14:textId="77777777" w:rsidTr="00BC31BE">
        <w:trPr>
          <w:trHeight w:val="232"/>
          <w:jc w:val="center"/>
        </w:trPr>
        <w:tc>
          <w:tcPr>
            <w:tcW w:w="2790" w:type="dxa"/>
            <w:vAlign w:val="center"/>
          </w:tcPr>
          <w:p w14:paraId="0CC01DFA" w14:textId="54E98734" w:rsidR="00961784" w:rsidRDefault="00961784" w:rsidP="00961784">
            <w:pPr>
              <w:rPr>
                <w:rFonts w:cs="Arial"/>
                <w:spacing w:val="-3"/>
                <w:szCs w:val="20"/>
              </w:rPr>
            </w:pPr>
            <w:r>
              <w:rPr>
                <w:rFonts w:cs="Arial"/>
                <w:spacing w:val="-3"/>
                <w:szCs w:val="20"/>
              </w:rPr>
              <w:t>VYKAT XR 150 MG</w:t>
            </w:r>
          </w:p>
        </w:tc>
        <w:tc>
          <w:tcPr>
            <w:tcW w:w="1383" w:type="dxa"/>
            <w:vAlign w:val="center"/>
          </w:tcPr>
          <w:p w14:paraId="414ABE76" w14:textId="1DF4C217" w:rsidR="00961784" w:rsidRDefault="00961784" w:rsidP="00961784">
            <w:pPr>
              <w:jc w:val="center"/>
              <w:rPr>
                <w:rFonts w:cs="Arial"/>
                <w:spacing w:val="-3"/>
                <w:szCs w:val="20"/>
              </w:rPr>
            </w:pPr>
            <w:r>
              <w:rPr>
                <w:rFonts w:cs="Arial"/>
                <w:spacing w:val="-3"/>
                <w:szCs w:val="20"/>
              </w:rPr>
              <w:t>1</w:t>
            </w:r>
          </w:p>
        </w:tc>
        <w:tc>
          <w:tcPr>
            <w:tcW w:w="1329" w:type="dxa"/>
            <w:vAlign w:val="center"/>
          </w:tcPr>
          <w:p w14:paraId="6B798902" w14:textId="51C6AAEB" w:rsidR="00961784" w:rsidRDefault="00961784" w:rsidP="00961784">
            <w:pPr>
              <w:jc w:val="center"/>
              <w:rPr>
                <w:rFonts w:cs="Arial"/>
                <w:spacing w:val="-3"/>
                <w:szCs w:val="20"/>
              </w:rPr>
            </w:pPr>
            <w:r>
              <w:rPr>
                <w:rFonts w:cs="Arial"/>
                <w:spacing w:val="-3"/>
                <w:szCs w:val="20"/>
              </w:rPr>
              <w:t>1</w:t>
            </w:r>
          </w:p>
        </w:tc>
        <w:tc>
          <w:tcPr>
            <w:tcW w:w="2279" w:type="dxa"/>
            <w:vAlign w:val="bottom"/>
          </w:tcPr>
          <w:p w14:paraId="308A1141" w14:textId="4D97ECE9" w:rsidR="00961784" w:rsidRDefault="00961784" w:rsidP="00961784">
            <w:pPr>
              <w:jc w:val="center"/>
              <w:rPr>
                <w:rFonts w:cs="Arial"/>
                <w:szCs w:val="20"/>
              </w:rPr>
            </w:pPr>
            <w:r>
              <w:rPr>
                <w:rFonts w:cs="Arial"/>
                <w:szCs w:val="20"/>
              </w:rPr>
              <w:t>$26,648.85</w:t>
            </w:r>
          </w:p>
        </w:tc>
        <w:tc>
          <w:tcPr>
            <w:tcW w:w="1715" w:type="dxa"/>
            <w:vAlign w:val="bottom"/>
          </w:tcPr>
          <w:p w14:paraId="3BC4CA72" w14:textId="586883EE" w:rsidR="00961784" w:rsidRDefault="00961784" w:rsidP="00961784">
            <w:pPr>
              <w:jc w:val="center"/>
              <w:rPr>
                <w:szCs w:val="20"/>
              </w:rPr>
            </w:pPr>
            <w:r>
              <w:rPr>
                <w:szCs w:val="20"/>
              </w:rPr>
              <w:t>$26,648.85</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9918F80" w:rsidR="0097028A" w:rsidRPr="0079438F" w:rsidRDefault="0097028A" w:rsidP="00696E3A">
      <w:pPr>
        <w:rPr>
          <w:b/>
        </w:rPr>
      </w:pPr>
      <w:r w:rsidRPr="00696E3A">
        <w:rPr>
          <w:b/>
          <w:bCs/>
        </w:rPr>
        <w:t>Drug class for review:</w:t>
      </w:r>
      <w:r w:rsidRPr="00C02553">
        <w:t xml:space="preserve"> </w:t>
      </w:r>
      <w:r w:rsidR="00BA4761" w:rsidRPr="00A1657D">
        <w:rPr>
          <w:rFonts w:cs="Arial"/>
          <w:szCs w:val="20"/>
        </w:rPr>
        <w:t>Vykat</w:t>
      </w:r>
      <w:r w:rsidR="00BA4761" w:rsidRPr="006662AE">
        <w:rPr>
          <w:rFonts w:cs="Arial"/>
          <w:szCs w:val="20"/>
          <w:vertAlign w:val="superscript"/>
        </w:rPr>
        <w:t>™</w:t>
      </w:r>
      <w:r w:rsidR="00BA4761" w:rsidRPr="00A1657D">
        <w:rPr>
          <w:rFonts w:cs="Arial"/>
          <w:szCs w:val="20"/>
        </w:rPr>
        <w:t xml:space="preserve"> </w:t>
      </w:r>
      <w:r w:rsidR="00BA4761" w:rsidRPr="00060AD9">
        <w:rPr>
          <w:rFonts w:cs="Arial"/>
          <w:szCs w:val="20"/>
        </w:rPr>
        <w:t>XR</w:t>
      </w:r>
      <w:r w:rsidR="00BA4761" w:rsidRPr="00060AD9">
        <w:rPr>
          <w:rFonts w:cs="Arial"/>
          <w:spacing w:val="-3"/>
          <w:szCs w:val="20"/>
        </w:rPr>
        <w:t xml:space="preserve"> </w:t>
      </w:r>
      <w:r w:rsidR="00BA4761" w:rsidRPr="00060AD9">
        <w:rPr>
          <w:rFonts w:cs="Arial"/>
          <w:szCs w:val="20"/>
        </w:rPr>
        <w:t>(diazoxide choline).</w:t>
      </w:r>
    </w:p>
    <w:p w14:paraId="26CFE8A0" w14:textId="312671C7"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012313" w:rsidRPr="00012313">
        <w:rPr>
          <w:rFonts w:cs="Arial"/>
          <w:szCs w:val="20"/>
        </w:rPr>
        <w:t xml:space="preserve"> </w:t>
      </w:r>
      <w:r w:rsidR="00012313">
        <w:rPr>
          <w:rFonts w:cs="Arial"/>
          <w:szCs w:val="20"/>
        </w:rPr>
        <w:t>aged 4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1B7758F7" w14:textId="77777777" w:rsidR="006D5D04" w:rsidRPr="00B84E51" w:rsidRDefault="006D5D04" w:rsidP="006D5D04">
      <w:pPr>
        <w:pStyle w:val="ListParagraph"/>
        <w:numPr>
          <w:ilvl w:val="0"/>
          <w:numId w:val="21"/>
        </w:numPr>
        <w:spacing w:after="200"/>
        <w:rPr>
          <w:rFonts w:eastAsia="Arial" w:cs="Arial"/>
          <w:szCs w:val="20"/>
        </w:rPr>
      </w:pPr>
      <w:r w:rsidRPr="00B84E51">
        <w:rPr>
          <w:rFonts w:eastAsia="Arial" w:cs="Arial"/>
          <w:szCs w:val="20"/>
        </w:rPr>
        <w:t>Must meet all of the following:</w:t>
      </w:r>
    </w:p>
    <w:p w14:paraId="4C9CCE60" w14:textId="77777777" w:rsidR="006D5D04" w:rsidRPr="00B84E51" w:rsidRDefault="006D5D04" w:rsidP="000B6BF6">
      <w:pPr>
        <w:pStyle w:val="ListParagraph"/>
        <w:numPr>
          <w:ilvl w:val="1"/>
          <w:numId w:val="21"/>
        </w:numPr>
        <w:spacing w:after="200"/>
        <w:ind w:left="720"/>
        <w:rPr>
          <w:rFonts w:eastAsia="Arial" w:cs="Arial"/>
          <w:szCs w:val="20"/>
        </w:rPr>
      </w:pPr>
      <w:r w:rsidRPr="00B84E51">
        <w:rPr>
          <w:rFonts w:eastAsia="Arial" w:cs="Arial"/>
          <w:szCs w:val="20"/>
        </w:rPr>
        <w:t>Prescribed by or in consultation with an endocrinologist, neurologist, or other appropriate specialist in the treated disease state;</w:t>
      </w:r>
    </w:p>
    <w:p w14:paraId="36A62021" w14:textId="77777777" w:rsidR="006D5D04" w:rsidRPr="00B84E51" w:rsidRDefault="006D5D04" w:rsidP="000B6BF6">
      <w:pPr>
        <w:pStyle w:val="ListParagraph"/>
        <w:numPr>
          <w:ilvl w:val="1"/>
          <w:numId w:val="21"/>
        </w:numPr>
        <w:spacing w:after="200"/>
        <w:ind w:left="720"/>
        <w:rPr>
          <w:rFonts w:eastAsia="Arial" w:cs="Arial"/>
          <w:szCs w:val="20"/>
        </w:rPr>
      </w:pPr>
      <w:r w:rsidRPr="00B84E51">
        <w:rPr>
          <w:rFonts w:eastAsia="Arial" w:cs="Arial"/>
          <w:szCs w:val="20"/>
        </w:rPr>
        <w:t xml:space="preserve">Documented diagnosis of Prader-Willi Syndrome, confirmed by genetic testing; </w:t>
      </w:r>
    </w:p>
    <w:p w14:paraId="1E2B5101" w14:textId="77777777" w:rsidR="006D5D04" w:rsidRPr="00B84E51" w:rsidRDefault="006D5D04" w:rsidP="000B6BF6">
      <w:pPr>
        <w:pStyle w:val="ListParagraph"/>
        <w:numPr>
          <w:ilvl w:val="1"/>
          <w:numId w:val="21"/>
        </w:numPr>
        <w:spacing w:after="200"/>
        <w:ind w:left="720"/>
        <w:rPr>
          <w:rFonts w:eastAsia="Arial" w:cs="Arial"/>
          <w:szCs w:val="20"/>
        </w:rPr>
      </w:pPr>
      <w:r w:rsidRPr="00B84E51">
        <w:rPr>
          <w:rFonts w:eastAsia="Arial" w:cs="Arial"/>
          <w:szCs w:val="20"/>
        </w:rPr>
        <w:lastRenderedPageBreak/>
        <w:t>Participant demonstrates hyperphagia that is moderate to severe in nature, confirmed by provider attestation;</w:t>
      </w:r>
    </w:p>
    <w:p w14:paraId="7ECF63FC" w14:textId="77777777" w:rsidR="006D5D04" w:rsidRPr="00B84E51" w:rsidRDefault="006D5D04" w:rsidP="000B6BF6">
      <w:pPr>
        <w:pStyle w:val="ListParagraph"/>
        <w:numPr>
          <w:ilvl w:val="1"/>
          <w:numId w:val="21"/>
        </w:numPr>
        <w:spacing w:after="200"/>
        <w:ind w:left="720"/>
        <w:rPr>
          <w:rFonts w:eastAsia="Arial" w:cs="Arial"/>
          <w:szCs w:val="20"/>
        </w:rPr>
      </w:pPr>
      <w:r w:rsidRPr="00B84E51">
        <w:rPr>
          <w:rFonts w:eastAsia="Arial" w:cs="Arial"/>
          <w:szCs w:val="20"/>
        </w:rPr>
        <w:t>Participant demonstrates ability to swallow tablets;</w:t>
      </w:r>
    </w:p>
    <w:p w14:paraId="753BA577" w14:textId="77777777" w:rsidR="006D5D04" w:rsidRPr="00B84E51" w:rsidRDefault="006D5D04" w:rsidP="000B6BF6">
      <w:pPr>
        <w:pStyle w:val="ListParagraph"/>
        <w:numPr>
          <w:ilvl w:val="1"/>
          <w:numId w:val="21"/>
        </w:numPr>
        <w:spacing w:after="200"/>
        <w:ind w:left="720"/>
        <w:rPr>
          <w:rFonts w:eastAsia="Arial" w:cs="Arial"/>
          <w:szCs w:val="20"/>
        </w:rPr>
      </w:pPr>
      <w:r w:rsidRPr="00B84E51">
        <w:rPr>
          <w:rFonts w:eastAsia="Arial" w:cs="Arial"/>
          <w:szCs w:val="20"/>
        </w:rPr>
        <w:t xml:space="preserve">Participant is ≥ 4 years of age; </w:t>
      </w:r>
      <w:r w:rsidRPr="00B84E51">
        <w:rPr>
          <w:rFonts w:eastAsia="Arial" w:cs="Arial"/>
          <w:b/>
          <w:bCs/>
          <w:szCs w:val="20"/>
        </w:rPr>
        <w:t>AND</w:t>
      </w:r>
    </w:p>
    <w:p w14:paraId="0C47CE3B" w14:textId="77777777" w:rsidR="006D5D04" w:rsidRPr="00B84E51" w:rsidRDefault="006D5D04" w:rsidP="000B6BF6">
      <w:pPr>
        <w:pStyle w:val="ListParagraph"/>
        <w:numPr>
          <w:ilvl w:val="1"/>
          <w:numId w:val="21"/>
        </w:numPr>
        <w:spacing w:after="200"/>
        <w:ind w:left="720"/>
        <w:rPr>
          <w:rFonts w:eastAsia="Arial" w:cs="Arial"/>
          <w:szCs w:val="20"/>
        </w:rPr>
      </w:pPr>
      <w:r w:rsidRPr="00B84E51">
        <w:rPr>
          <w:rFonts w:eastAsia="Arial" w:cs="Arial"/>
          <w:szCs w:val="20"/>
        </w:rPr>
        <w:t>Participant has documented baseline weight, HbA1c, and plasma glucose values.</w:t>
      </w:r>
    </w:p>
    <w:p w14:paraId="39BF549F" w14:textId="77777777" w:rsidR="006D5D04" w:rsidRPr="00B84E51" w:rsidRDefault="006D5D04" w:rsidP="006D5D04">
      <w:pPr>
        <w:pStyle w:val="ListParagraph"/>
        <w:numPr>
          <w:ilvl w:val="0"/>
          <w:numId w:val="21"/>
        </w:numPr>
        <w:spacing w:after="200"/>
        <w:rPr>
          <w:rFonts w:eastAsia="Arial" w:cs="Arial"/>
          <w:szCs w:val="20"/>
        </w:rPr>
      </w:pPr>
      <w:r w:rsidRPr="00B84E51">
        <w:rPr>
          <w:rFonts w:eastAsia="Arial" w:cs="Arial"/>
          <w:szCs w:val="20"/>
        </w:rPr>
        <w:t xml:space="preserve"> Initial approval: 6 months</w:t>
      </w:r>
    </w:p>
    <w:p w14:paraId="7EC2017B" w14:textId="77777777" w:rsidR="00635DDB" w:rsidRPr="00696E3A" w:rsidRDefault="00635DDB" w:rsidP="00635DDB">
      <w:pPr>
        <w:rPr>
          <w:b/>
          <w:bCs/>
        </w:rPr>
      </w:pPr>
      <w:r w:rsidRPr="00696E3A">
        <w:rPr>
          <w:b/>
          <w:bCs/>
        </w:rPr>
        <w:t>Continuation of Therapy:</w:t>
      </w:r>
    </w:p>
    <w:p w14:paraId="5C4FD17F" w14:textId="77777777" w:rsidR="00AA3286" w:rsidRPr="00B84E51" w:rsidRDefault="00AA3286" w:rsidP="00AA3286">
      <w:pPr>
        <w:pStyle w:val="ListParagraph"/>
        <w:numPr>
          <w:ilvl w:val="0"/>
          <w:numId w:val="21"/>
        </w:numPr>
        <w:spacing w:after="200"/>
        <w:rPr>
          <w:rFonts w:eastAsia="Arial" w:cs="Arial"/>
          <w:szCs w:val="20"/>
        </w:rPr>
      </w:pPr>
      <w:r w:rsidRPr="00B84E51">
        <w:rPr>
          <w:rFonts w:eastAsia="Arial" w:cs="Arial"/>
          <w:szCs w:val="20"/>
        </w:rPr>
        <w:t>Must meet all of the following:</w:t>
      </w:r>
    </w:p>
    <w:p w14:paraId="7D24E1A1" w14:textId="77777777" w:rsidR="00AA3286" w:rsidRPr="00B84E51" w:rsidRDefault="00AA3286" w:rsidP="000B6BF6">
      <w:pPr>
        <w:pStyle w:val="ListParagraph"/>
        <w:numPr>
          <w:ilvl w:val="1"/>
          <w:numId w:val="21"/>
        </w:numPr>
        <w:spacing w:after="200"/>
        <w:ind w:left="720"/>
        <w:rPr>
          <w:rFonts w:eastAsia="Arial" w:cs="Arial"/>
          <w:szCs w:val="20"/>
        </w:rPr>
      </w:pPr>
      <w:r w:rsidRPr="00B84E51">
        <w:rPr>
          <w:rFonts w:eastAsia="Arial" w:cs="Arial"/>
          <w:szCs w:val="20"/>
        </w:rPr>
        <w:t>Documented compliance to current therapy;</w:t>
      </w:r>
    </w:p>
    <w:p w14:paraId="0AF0DE4B" w14:textId="77777777" w:rsidR="00AA3286" w:rsidRPr="00B84E51" w:rsidRDefault="00AA3286" w:rsidP="000B6BF6">
      <w:pPr>
        <w:pStyle w:val="ListParagraph"/>
        <w:numPr>
          <w:ilvl w:val="1"/>
          <w:numId w:val="21"/>
        </w:numPr>
        <w:spacing w:after="200"/>
        <w:ind w:left="720"/>
        <w:rPr>
          <w:rFonts w:eastAsia="Arial" w:cs="Arial"/>
          <w:szCs w:val="20"/>
        </w:rPr>
      </w:pPr>
      <w:r w:rsidRPr="00B84E51">
        <w:rPr>
          <w:rFonts w:eastAsia="Arial" w:cs="Arial"/>
          <w:szCs w:val="20"/>
        </w:rPr>
        <w:t xml:space="preserve">Documented improvement in hyperphagic symptoms such as decreased food-related aggression, manipulation, and/or preoccupation; </w:t>
      </w:r>
      <w:r w:rsidRPr="00B84E51">
        <w:rPr>
          <w:rFonts w:eastAsia="Arial" w:cs="Arial"/>
          <w:b/>
          <w:bCs/>
          <w:szCs w:val="20"/>
        </w:rPr>
        <w:t>AND</w:t>
      </w:r>
    </w:p>
    <w:p w14:paraId="558CA003" w14:textId="77777777" w:rsidR="00AA3286" w:rsidRPr="00B84E51" w:rsidRDefault="00AA3286" w:rsidP="000B6BF6">
      <w:pPr>
        <w:pStyle w:val="ListParagraph"/>
        <w:numPr>
          <w:ilvl w:val="1"/>
          <w:numId w:val="21"/>
        </w:numPr>
        <w:spacing w:after="200"/>
        <w:ind w:left="720"/>
        <w:rPr>
          <w:rFonts w:eastAsia="Arial" w:cs="Arial"/>
          <w:szCs w:val="20"/>
        </w:rPr>
      </w:pPr>
      <w:r w:rsidRPr="00B84E51">
        <w:rPr>
          <w:rFonts w:eastAsia="Arial" w:cs="Arial"/>
          <w:szCs w:val="20"/>
        </w:rPr>
        <w:t>Documented regular monitoring of weight, fasting plasma glucose and HbA1c as clinically indicated.</w:t>
      </w:r>
    </w:p>
    <w:p w14:paraId="0EE378D9" w14:textId="77777777" w:rsidR="00AA3286" w:rsidRPr="00B84E51" w:rsidRDefault="00AA3286" w:rsidP="00AA3286">
      <w:pPr>
        <w:pStyle w:val="ListParagraph"/>
        <w:numPr>
          <w:ilvl w:val="0"/>
          <w:numId w:val="21"/>
        </w:numPr>
        <w:spacing w:after="200"/>
        <w:rPr>
          <w:rFonts w:eastAsia="Arial" w:cs="Arial"/>
          <w:szCs w:val="20"/>
        </w:rPr>
      </w:pPr>
      <w:r w:rsidRPr="00B84E51">
        <w:rPr>
          <w:rFonts w:eastAsia="Arial" w:cs="Arial"/>
          <w:szCs w:val="20"/>
        </w:rPr>
        <w:t>Continuation approval: 6 months</w:t>
      </w:r>
    </w:p>
    <w:p w14:paraId="6413C03A" w14:textId="77777777" w:rsidR="00AE77DB" w:rsidRPr="00C02553" w:rsidRDefault="00AE77DB" w:rsidP="005A2F1E">
      <w:pPr>
        <w:pStyle w:val="Heading1"/>
        <w:rPr>
          <w:lang w:val="en-US"/>
        </w:rPr>
      </w:pPr>
      <w:r w:rsidRPr="00C02553">
        <w:rPr>
          <w:lang w:val="en-US"/>
        </w:rPr>
        <w:t>Denial Criteria</w:t>
      </w:r>
    </w:p>
    <w:p w14:paraId="0441B5A1" w14:textId="77777777" w:rsidR="00B02FC0" w:rsidRDefault="002F61F3" w:rsidP="00B02FC0">
      <w:pPr>
        <w:pStyle w:val="ListParagraph"/>
        <w:numPr>
          <w:ilvl w:val="0"/>
          <w:numId w:val="19"/>
        </w:numPr>
        <w:rPr>
          <w:rFonts w:cs="Arial"/>
          <w:noProof/>
          <w:szCs w:val="20"/>
        </w:rPr>
      </w:pPr>
      <w:bookmarkStart w:id="1" w:name="_Hlk47597237"/>
      <w:r>
        <w:rPr>
          <w:rFonts w:cs="Arial"/>
          <w:noProof/>
          <w:szCs w:val="20"/>
        </w:rPr>
        <w:t xml:space="preserve">Therapy will deny with presence of one of the following: </w:t>
      </w:r>
      <w:bookmarkEnd w:id="1"/>
    </w:p>
    <w:p w14:paraId="4D21EAF1" w14:textId="0B98E97A" w:rsidR="001E4CBA" w:rsidRPr="00B02FC0" w:rsidRDefault="002F61F3" w:rsidP="00B02FC0">
      <w:pPr>
        <w:pStyle w:val="ListParagraph"/>
        <w:numPr>
          <w:ilvl w:val="1"/>
          <w:numId w:val="19"/>
        </w:numPr>
        <w:rPr>
          <w:rFonts w:cs="Arial"/>
          <w:noProof/>
          <w:szCs w:val="20"/>
        </w:rPr>
      </w:pPr>
      <w:r w:rsidRPr="00B02FC0">
        <w:rPr>
          <w:rFonts w:eastAsia="Arial" w:cs="Arial"/>
          <w:szCs w:val="20"/>
        </w:rPr>
        <w:t>Any approval criteria are not met.</w:t>
      </w: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2A24ED11" w14:textId="77777777" w:rsidR="00EC09A5" w:rsidRPr="004E3570" w:rsidRDefault="00343D6B" w:rsidP="00EC09A5">
      <w:pPr>
        <w:rPr>
          <w:rFonts w:cs="Arial"/>
          <w:szCs w:val="20"/>
        </w:rPr>
      </w:pPr>
      <w:r w:rsidRPr="00696E3A">
        <w:rPr>
          <w:b/>
          <w:bCs/>
        </w:rPr>
        <w:t>Default Approval Period:</w:t>
      </w:r>
      <w:r w:rsidR="00973BD6">
        <w:t xml:space="preserve"> </w:t>
      </w:r>
      <w:r w:rsidR="00EC09A5">
        <w:rPr>
          <w:rFonts w:cs="Arial"/>
          <w:szCs w:val="20"/>
        </w:rPr>
        <w:t>6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3CDC108E" w14:textId="77777777" w:rsidR="008011AB" w:rsidRPr="00B76248" w:rsidRDefault="008011AB" w:rsidP="008011AB">
      <w:pPr>
        <w:pStyle w:val="ListParagraph"/>
        <w:numPr>
          <w:ilvl w:val="0"/>
          <w:numId w:val="22"/>
        </w:numPr>
        <w:spacing w:after="200" w:line="276" w:lineRule="auto"/>
        <w:rPr>
          <w:rFonts w:cs="Arial"/>
          <w:szCs w:val="20"/>
          <w:shd w:val="clear" w:color="auto" w:fill="FFFFFF"/>
        </w:rPr>
      </w:pPr>
      <w:bookmarkStart w:id="3" w:name="_Hlk204261254"/>
      <w:r w:rsidRPr="00B76248">
        <w:rPr>
          <w:rFonts w:cs="Arial"/>
          <w:szCs w:val="20"/>
          <w:shd w:val="clear" w:color="auto" w:fill="FFFFFF"/>
        </w:rPr>
        <w:t>Vykat XR [Package insert]. Redwood City, CA: Soleno Therapeutics, Inc. March 2025.</w:t>
      </w:r>
    </w:p>
    <w:p w14:paraId="6173ED87" w14:textId="77777777" w:rsidR="008011AB" w:rsidRPr="00B76248" w:rsidRDefault="008011AB" w:rsidP="008011AB">
      <w:pPr>
        <w:pStyle w:val="ListParagraph"/>
        <w:numPr>
          <w:ilvl w:val="0"/>
          <w:numId w:val="22"/>
        </w:numPr>
        <w:spacing w:after="200" w:line="276" w:lineRule="auto"/>
        <w:rPr>
          <w:rFonts w:cs="Arial"/>
          <w:szCs w:val="20"/>
          <w:shd w:val="clear" w:color="auto" w:fill="FFFFFF"/>
        </w:rPr>
      </w:pPr>
      <w:r w:rsidRPr="00B76248">
        <w:rPr>
          <w:rFonts w:cs="Arial"/>
          <w:szCs w:val="20"/>
          <w:shd w:val="clear" w:color="auto" w:fill="FFFFFF"/>
        </w:rPr>
        <w:t>IPD Analytics. New Drug Review: Vykat XR. April 2025.</w:t>
      </w:r>
    </w:p>
    <w:bookmarkEnd w:id="3"/>
    <w:p w14:paraId="376C3AFF" w14:textId="77777777" w:rsidR="008011AB" w:rsidRDefault="008011AB" w:rsidP="008011AB">
      <w:pPr>
        <w:pStyle w:val="ListParagraph"/>
        <w:numPr>
          <w:ilvl w:val="0"/>
          <w:numId w:val="22"/>
        </w:numPr>
        <w:spacing w:after="200" w:line="276" w:lineRule="auto"/>
        <w:rPr>
          <w:rFonts w:cs="Arial"/>
          <w:szCs w:val="20"/>
          <w:shd w:val="clear" w:color="auto" w:fill="FFFFFF"/>
        </w:rPr>
      </w:pPr>
      <w:r w:rsidRPr="00B76248">
        <w:rPr>
          <w:rFonts w:cs="Arial"/>
          <w:szCs w:val="20"/>
          <w:shd w:val="clear" w:color="auto" w:fill="FFFFFF"/>
        </w:rPr>
        <w:t>Miller JL, Gevers E, Bridges N, et al. Diazoxide Choline Extended-Release Tablet in People With Prader-Willi Syndrome: A Double-Blind, Placebo-Controlled Trial. J Clin Endocrinol Metab. 2023;108(7):1676-1685. doi:10.1210/clinem/dgad014</w:t>
      </w:r>
      <w:r>
        <w:rPr>
          <w:rFonts w:cs="Arial"/>
          <w:szCs w:val="20"/>
          <w:shd w:val="clear" w:color="auto" w:fill="FFFFFF"/>
        </w:rPr>
        <w:t>.</w:t>
      </w:r>
    </w:p>
    <w:p w14:paraId="4E201224" w14:textId="77777777" w:rsidR="008011AB" w:rsidRDefault="008011AB" w:rsidP="008011AB">
      <w:pPr>
        <w:pStyle w:val="ListParagraph"/>
        <w:numPr>
          <w:ilvl w:val="0"/>
          <w:numId w:val="22"/>
        </w:numPr>
        <w:spacing w:after="200" w:line="276" w:lineRule="auto"/>
        <w:rPr>
          <w:rFonts w:cs="Arial"/>
          <w:szCs w:val="20"/>
          <w:shd w:val="clear" w:color="auto" w:fill="FFFFFF"/>
        </w:rPr>
      </w:pPr>
      <w:r w:rsidRPr="00EE6598">
        <w:rPr>
          <w:rFonts w:cs="Arial"/>
          <w:szCs w:val="20"/>
          <w:shd w:val="clear" w:color="auto" w:fill="FFFFFF"/>
        </w:rPr>
        <w:t>Miller JL, Gevers E, Bridges N, et al. Diazoxide choline extended-release tablet in people with Prader-Willi syndrome: results from long-term open-label study. </w:t>
      </w:r>
      <w:r w:rsidRPr="00EE6598">
        <w:rPr>
          <w:rFonts w:cs="Arial"/>
          <w:i/>
          <w:iCs/>
          <w:szCs w:val="20"/>
          <w:shd w:val="clear" w:color="auto" w:fill="FFFFFF"/>
        </w:rPr>
        <w:t>Obesity (Silver Spring)</w:t>
      </w:r>
      <w:r w:rsidRPr="00EE6598">
        <w:rPr>
          <w:rFonts w:cs="Arial"/>
          <w:szCs w:val="20"/>
          <w:shd w:val="clear" w:color="auto" w:fill="FFFFFF"/>
        </w:rPr>
        <w:t>. 2024;32(2):252-261. doi:10.1002/oby.23928</w:t>
      </w:r>
      <w:r>
        <w:rPr>
          <w:rFonts w:cs="Arial"/>
          <w:szCs w:val="20"/>
          <w:shd w:val="clear" w:color="auto" w:fill="FFFFFF"/>
        </w:rPr>
        <w:t>.</w:t>
      </w:r>
    </w:p>
    <w:p w14:paraId="3F64D030" w14:textId="77777777" w:rsidR="008011AB" w:rsidRDefault="008011AB" w:rsidP="008011AB">
      <w:pPr>
        <w:pStyle w:val="ListParagraph"/>
        <w:numPr>
          <w:ilvl w:val="0"/>
          <w:numId w:val="22"/>
        </w:numPr>
        <w:spacing w:after="200" w:line="276" w:lineRule="auto"/>
        <w:rPr>
          <w:rFonts w:cs="Arial"/>
          <w:szCs w:val="20"/>
          <w:shd w:val="clear" w:color="auto" w:fill="FFFFFF"/>
        </w:rPr>
      </w:pPr>
      <w:r w:rsidRPr="0002792C">
        <w:rPr>
          <w:rFonts w:cs="Arial"/>
          <w:szCs w:val="20"/>
          <w:shd w:val="clear" w:color="auto" w:fill="FFFFFF"/>
        </w:rPr>
        <w:t>Beygo J, Buiting K, Ramsden SC, Ellis R, Clayton-Smith J, Kanber D. Update of the EMQN/ACGS best practice guidelines for molecular analysis of Prader-Willi and Angelman syndromes. </w:t>
      </w:r>
      <w:r w:rsidRPr="0002792C">
        <w:rPr>
          <w:rFonts w:cs="Arial"/>
          <w:i/>
          <w:iCs/>
          <w:szCs w:val="20"/>
          <w:shd w:val="clear" w:color="auto" w:fill="FFFFFF"/>
        </w:rPr>
        <w:t>Eur J Hum Genet</w:t>
      </w:r>
      <w:r w:rsidRPr="0002792C">
        <w:rPr>
          <w:rFonts w:cs="Arial"/>
          <w:szCs w:val="20"/>
          <w:shd w:val="clear" w:color="auto" w:fill="FFFFFF"/>
        </w:rPr>
        <w:t>. 2019;27(9):1326-1340. doi:10.1038/s41431-019-0435-0</w:t>
      </w:r>
    </w:p>
    <w:p w14:paraId="3FA1E7DB" w14:textId="6C1228EB" w:rsidR="00777CA4" w:rsidRPr="008011AB" w:rsidRDefault="008011AB" w:rsidP="008011AB">
      <w:pPr>
        <w:pStyle w:val="ListParagraph"/>
        <w:numPr>
          <w:ilvl w:val="0"/>
          <w:numId w:val="22"/>
        </w:numPr>
        <w:spacing w:after="200" w:line="276" w:lineRule="auto"/>
        <w:rPr>
          <w:rFonts w:cs="Arial"/>
          <w:szCs w:val="20"/>
          <w:shd w:val="clear" w:color="auto" w:fill="FFFFFF"/>
        </w:rPr>
      </w:pPr>
      <w:r w:rsidRPr="00741AD8">
        <w:rPr>
          <w:rFonts w:cs="Arial"/>
          <w:szCs w:val="20"/>
          <w:shd w:val="clear" w:color="auto" w:fill="FFFFFF"/>
        </w:rPr>
        <w:t>Butler MG, Manzardo AM, Heinemann J, Loker C, Loker J. Causes of death in Prader-Willi syndrome: Prader-Willi Syndrome Association (USA) 40-year mortality survey. Genet Med. 2017 Jun;19(6):635-642. doi: 10.1038/gim.2016.178. Epub 2016 Nov 17. PMID: 27854358; PMCID: PMC5435554.</w:t>
      </w:r>
    </w:p>
    <w:sectPr w:rsidR="00777CA4" w:rsidRPr="008011AB"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83558" w14:textId="77777777" w:rsidR="009434DE" w:rsidRPr="00C02553" w:rsidRDefault="009434DE" w:rsidP="00AE77DB">
      <w:r w:rsidRPr="00C02553">
        <w:separator/>
      </w:r>
    </w:p>
  </w:endnote>
  <w:endnote w:type="continuationSeparator" w:id="0">
    <w:p w14:paraId="6C060159" w14:textId="77777777" w:rsidR="009434DE" w:rsidRPr="00C02553" w:rsidRDefault="009434DE" w:rsidP="00AE77DB">
      <w:r w:rsidRPr="00C02553">
        <w:continuationSeparator/>
      </w:r>
    </w:p>
  </w:endnote>
  <w:endnote w:type="continuationNotice" w:id="1">
    <w:p w14:paraId="58B13A1F" w14:textId="77777777" w:rsidR="009434DE" w:rsidRPr="00C02553" w:rsidRDefault="009434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77CE3" w14:textId="77777777" w:rsidR="009434DE" w:rsidRPr="00C02553" w:rsidRDefault="009434DE" w:rsidP="00AE77DB">
      <w:r w:rsidRPr="00C02553">
        <w:separator/>
      </w:r>
    </w:p>
  </w:footnote>
  <w:footnote w:type="continuationSeparator" w:id="0">
    <w:p w14:paraId="0417864A" w14:textId="77777777" w:rsidR="009434DE" w:rsidRPr="00C02553" w:rsidRDefault="009434DE" w:rsidP="00AE77DB">
      <w:r w:rsidRPr="00C02553">
        <w:continuationSeparator/>
      </w:r>
    </w:p>
  </w:footnote>
  <w:footnote w:type="continuationNotice" w:id="1">
    <w:p w14:paraId="0677F1BF" w14:textId="77777777" w:rsidR="009434DE" w:rsidRPr="00C02553" w:rsidRDefault="009434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BF7EE3"/>
    <w:multiLevelType w:val="hybridMultilevel"/>
    <w:tmpl w:val="F572D9A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A6540BC"/>
    <w:multiLevelType w:val="hybridMultilevel"/>
    <w:tmpl w:val="77A801A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D4C2FAC"/>
    <w:multiLevelType w:val="hybridMultilevel"/>
    <w:tmpl w:val="51DAAB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353422"/>
    <w:multiLevelType w:val="hybridMultilevel"/>
    <w:tmpl w:val="C3148890"/>
    <w:lvl w:ilvl="0" w:tplc="A8A43FF4">
      <w:numFmt w:val="bullet"/>
      <w:lvlText w:val=""/>
      <w:lvlJc w:val="left"/>
      <w:pPr>
        <w:ind w:left="360" w:hanging="360"/>
      </w:pPr>
      <w:rPr>
        <w:rFonts w:ascii="Symbol" w:eastAsia="Arial" w:hAnsi="Symbol" w:cs="Aria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DB91844"/>
    <w:multiLevelType w:val="hybridMultilevel"/>
    <w:tmpl w:val="04A6B0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064CF6"/>
    <w:multiLevelType w:val="hybridMultilevel"/>
    <w:tmpl w:val="C3E229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0"/>
  </w:num>
  <w:num w:numId="3" w16cid:durableId="1729067566">
    <w:abstractNumId w:val="4"/>
  </w:num>
  <w:num w:numId="4" w16cid:durableId="320159068">
    <w:abstractNumId w:val="8"/>
  </w:num>
  <w:num w:numId="5" w16cid:durableId="1769498754">
    <w:abstractNumId w:val="3"/>
  </w:num>
  <w:num w:numId="6" w16cid:durableId="1094596320">
    <w:abstractNumId w:val="16"/>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7"/>
  </w:num>
  <w:num w:numId="13" w16cid:durableId="604729665">
    <w:abstractNumId w:val="5"/>
  </w:num>
  <w:num w:numId="14" w16cid:durableId="1805081292">
    <w:abstractNumId w:val="14"/>
  </w:num>
  <w:num w:numId="15" w16cid:durableId="1911186802">
    <w:abstractNumId w:val="6"/>
  </w:num>
  <w:num w:numId="16" w16cid:durableId="1014304344">
    <w:abstractNumId w:val="18"/>
  </w:num>
  <w:num w:numId="17" w16cid:durableId="1397899452">
    <w:abstractNumId w:val="15"/>
  </w:num>
  <w:num w:numId="18" w16cid:durableId="279147771">
    <w:abstractNumId w:val="16"/>
  </w:num>
  <w:num w:numId="19" w16cid:durableId="69162268">
    <w:abstractNumId w:val="19"/>
  </w:num>
  <w:num w:numId="20" w16cid:durableId="404764218">
    <w:abstractNumId w:val="10"/>
  </w:num>
  <w:num w:numId="21" w16cid:durableId="402485006">
    <w:abstractNumId w:val="13"/>
  </w:num>
  <w:num w:numId="22" w16cid:durableId="83796623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2313"/>
    <w:rsid w:val="00017CBA"/>
    <w:rsid w:val="000276D9"/>
    <w:rsid w:val="000344C5"/>
    <w:rsid w:val="00040AD3"/>
    <w:rsid w:val="00047607"/>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B6BF6"/>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D1E7D"/>
    <w:rsid w:val="001D5213"/>
    <w:rsid w:val="001D6567"/>
    <w:rsid w:val="001E2CCB"/>
    <w:rsid w:val="001E4CBA"/>
    <w:rsid w:val="001E523C"/>
    <w:rsid w:val="001E6008"/>
    <w:rsid w:val="001E61DF"/>
    <w:rsid w:val="001F2B9F"/>
    <w:rsid w:val="001F3A35"/>
    <w:rsid w:val="001F5954"/>
    <w:rsid w:val="00202DD3"/>
    <w:rsid w:val="00206E7D"/>
    <w:rsid w:val="00217E14"/>
    <w:rsid w:val="00217EFD"/>
    <w:rsid w:val="00222134"/>
    <w:rsid w:val="0022233F"/>
    <w:rsid w:val="00222EE6"/>
    <w:rsid w:val="00226275"/>
    <w:rsid w:val="00241104"/>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1F3"/>
    <w:rsid w:val="002F690F"/>
    <w:rsid w:val="0030301F"/>
    <w:rsid w:val="00303B21"/>
    <w:rsid w:val="003105A5"/>
    <w:rsid w:val="00313701"/>
    <w:rsid w:val="00314430"/>
    <w:rsid w:val="00316188"/>
    <w:rsid w:val="003171AF"/>
    <w:rsid w:val="00317469"/>
    <w:rsid w:val="0032215C"/>
    <w:rsid w:val="0032616B"/>
    <w:rsid w:val="00326687"/>
    <w:rsid w:val="003275F9"/>
    <w:rsid w:val="003276BF"/>
    <w:rsid w:val="00330DD4"/>
    <w:rsid w:val="003345D2"/>
    <w:rsid w:val="003355AC"/>
    <w:rsid w:val="00343D6B"/>
    <w:rsid w:val="00346090"/>
    <w:rsid w:val="00347FB5"/>
    <w:rsid w:val="00351E4B"/>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8608C"/>
    <w:rsid w:val="00496E57"/>
    <w:rsid w:val="004B3E10"/>
    <w:rsid w:val="004C0F5D"/>
    <w:rsid w:val="004C2B30"/>
    <w:rsid w:val="004C375A"/>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4C8A"/>
    <w:rsid w:val="00515075"/>
    <w:rsid w:val="00516D12"/>
    <w:rsid w:val="00520FE9"/>
    <w:rsid w:val="005233E7"/>
    <w:rsid w:val="00526C8D"/>
    <w:rsid w:val="005328B2"/>
    <w:rsid w:val="00535BD5"/>
    <w:rsid w:val="00540977"/>
    <w:rsid w:val="00546F90"/>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3078"/>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732"/>
    <w:rsid w:val="00677C65"/>
    <w:rsid w:val="00693152"/>
    <w:rsid w:val="00694FAE"/>
    <w:rsid w:val="00696E3A"/>
    <w:rsid w:val="006A0834"/>
    <w:rsid w:val="006A4BBD"/>
    <w:rsid w:val="006A52F1"/>
    <w:rsid w:val="006B561D"/>
    <w:rsid w:val="006B6D5D"/>
    <w:rsid w:val="006D2330"/>
    <w:rsid w:val="006D4731"/>
    <w:rsid w:val="006D5D04"/>
    <w:rsid w:val="006E0F8B"/>
    <w:rsid w:val="006E12F7"/>
    <w:rsid w:val="006E29D7"/>
    <w:rsid w:val="00701FD5"/>
    <w:rsid w:val="007068A4"/>
    <w:rsid w:val="00706D67"/>
    <w:rsid w:val="00713052"/>
    <w:rsid w:val="00721367"/>
    <w:rsid w:val="007231FA"/>
    <w:rsid w:val="00732C67"/>
    <w:rsid w:val="00734418"/>
    <w:rsid w:val="007422A1"/>
    <w:rsid w:val="00757080"/>
    <w:rsid w:val="00757826"/>
    <w:rsid w:val="00762B13"/>
    <w:rsid w:val="007632B7"/>
    <w:rsid w:val="0076382F"/>
    <w:rsid w:val="00765768"/>
    <w:rsid w:val="00765D10"/>
    <w:rsid w:val="00766AC8"/>
    <w:rsid w:val="00767486"/>
    <w:rsid w:val="0077070E"/>
    <w:rsid w:val="0077296A"/>
    <w:rsid w:val="007773E8"/>
    <w:rsid w:val="00777CA4"/>
    <w:rsid w:val="00792DF0"/>
    <w:rsid w:val="0079438F"/>
    <w:rsid w:val="007A3034"/>
    <w:rsid w:val="007A43F8"/>
    <w:rsid w:val="007A527E"/>
    <w:rsid w:val="007A53E7"/>
    <w:rsid w:val="007A78F7"/>
    <w:rsid w:val="007B3333"/>
    <w:rsid w:val="007B379F"/>
    <w:rsid w:val="007B37D6"/>
    <w:rsid w:val="007B5D30"/>
    <w:rsid w:val="007C77D7"/>
    <w:rsid w:val="007D16D1"/>
    <w:rsid w:val="007D2920"/>
    <w:rsid w:val="007D42DD"/>
    <w:rsid w:val="007E6A37"/>
    <w:rsid w:val="007F1774"/>
    <w:rsid w:val="007F593C"/>
    <w:rsid w:val="008011AB"/>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5332"/>
    <w:rsid w:val="00915FEB"/>
    <w:rsid w:val="009204BB"/>
    <w:rsid w:val="00935918"/>
    <w:rsid w:val="00935EC3"/>
    <w:rsid w:val="009434DE"/>
    <w:rsid w:val="00951097"/>
    <w:rsid w:val="00952592"/>
    <w:rsid w:val="00953C1E"/>
    <w:rsid w:val="00961784"/>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145C"/>
    <w:rsid w:val="00A4281A"/>
    <w:rsid w:val="00A459CF"/>
    <w:rsid w:val="00A5014D"/>
    <w:rsid w:val="00A53E96"/>
    <w:rsid w:val="00A56F18"/>
    <w:rsid w:val="00A628F8"/>
    <w:rsid w:val="00A62BAA"/>
    <w:rsid w:val="00A66172"/>
    <w:rsid w:val="00A744C3"/>
    <w:rsid w:val="00AA3286"/>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2FC0"/>
    <w:rsid w:val="00B06084"/>
    <w:rsid w:val="00B14467"/>
    <w:rsid w:val="00B16735"/>
    <w:rsid w:val="00B17EDE"/>
    <w:rsid w:val="00B22585"/>
    <w:rsid w:val="00B33693"/>
    <w:rsid w:val="00B34C53"/>
    <w:rsid w:val="00B507A5"/>
    <w:rsid w:val="00B52475"/>
    <w:rsid w:val="00B535DA"/>
    <w:rsid w:val="00B5467B"/>
    <w:rsid w:val="00B56DCC"/>
    <w:rsid w:val="00B56F54"/>
    <w:rsid w:val="00B638C2"/>
    <w:rsid w:val="00B7192E"/>
    <w:rsid w:val="00B7362D"/>
    <w:rsid w:val="00B758AB"/>
    <w:rsid w:val="00B76277"/>
    <w:rsid w:val="00B772AB"/>
    <w:rsid w:val="00B80395"/>
    <w:rsid w:val="00B80B56"/>
    <w:rsid w:val="00B86372"/>
    <w:rsid w:val="00BA1C17"/>
    <w:rsid w:val="00BA1D65"/>
    <w:rsid w:val="00BA4761"/>
    <w:rsid w:val="00BB3B4D"/>
    <w:rsid w:val="00BC31BE"/>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64B9"/>
    <w:rsid w:val="00C07A7B"/>
    <w:rsid w:val="00C1018C"/>
    <w:rsid w:val="00C1150E"/>
    <w:rsid w:val="00C14D52"/>
    <w:rsid w:val="00C2586C"/>
    <w:rsid w:val="00C26001"/>
    <w:rsid w:val="00C34E72"/>
    <w:rsid w:val="00C3693E"/>
    <w:rsid w:val="00C56B1F"/>
    <w:rsid w:val="00C61B52"/>
    <w:rsid w:val="00C62745"/>
    <w:rsid w:val="00C654CA"/>
    <w:rsid w:val="00C763BD"/>
    <w:rsid w:val="00C779A8"/>
    <w:rsid w:val="00C82E19"/>
    <w:rsid w:val="00C96873"/>
    <w:rsid w:val="00CA1735"/>
    <w:rsid w:val="00CA207E"/>
    <w:rsid w:val="00CA3C4B"/>
    <w:rsid w:val="00CA7252"/>
    <w:rsid w:val="00CA7B7C"/>
    <w:rsid w:val="00CB2C5A"/>
    <w:rsid w:val="00CE0C1C"/>
    <w:rsid w:val="00CE34AF"/>
    <w:rsid w:val="00CF00A4"/>
    <w:rsid w:val="00CF25FB"/>
    <w:rsid w:val="00CF614C"/>
    <w:rsid w:val="00D02F34"/>
    <w:rsid w:val="00D13D87"/>
    <w:rsid w:val="00D16590"/>
    <w:rsid w:val="00D20720"/>
    <w:rsid w:val="00D232D9"/>
    <w:rsid w:val="00D250D9"/>
    <w:rsid w:val="00D27533"/>
    <w:rsid w:val="00D40F9E"/>
    <w:rsid w:val="00D42DA3"/>
    <w:rsid w:val="00D4546D"/>
    <w:rsid w:val="00D47996"/>
    <w:rsid w:val="00D50C35"/>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5838"/>
    <w:rsid w:val="00E873A5"/>
    <w:rsid w:val="00E90D11"/>
    <w:rsid w:val="00E915E5"/>
    <w:rsid w:val="00EB0367"/>
    <w:rsid w:val="00EB4FB9"/>
    <w:rsid w:val="00EB5BC8"/>
    <w:rsid w:val="00EC09A5"/>
    <w:rsid w:val="00EC2738"/>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0662"/>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3276B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 ds:uri="f5eefb00-5952-4f7e-8cf8-96f81cfadd01"/>
    <ds:schemaRef ds:uri="aba01ddc-ae9a-4c9e-819c-7140b4239cde"/>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AE4D8975-6E50-45E5-981F-293ACCDAB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Vykat XR_WEB_Proposal</dc:title>
  <dc:subject/>
  <dc:creator>DMS</dc:creator>
  <cp:keywords/>
  <cp:lastModifiedBy>Heriford, Katherine</cp:lastModifiedBy>
  <cp:revision>2</cp:revision>
  <cp:lastPrinted>2018-10-31T18:17:00Z</cp:lastPrinted>
  <dcterms:created xsi:type="dcterms:W3CDTF">2026-02-19T13:38:00Z</dcterms:created>
  <dcterms:modified xsi:type="dcterms:W3CDTF">2026-02-19T13:38:00Z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