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D6375" w14:textId="73695E92" w:rsidR="00222A3D" w:rsidRDefault="00C82F1A" w:rsidP="004550FB">
      <w:pPr>
        <w:pStyle w:val="Heading1"/>
        <w:jc w:val="center"/>
      </w:pPr>
      <w:r>
        <w:t>Preferred Drug List Announcement</w:t>
      </w:r>
    </w:p>
    <w:p w14:paraId="3F8969AF" w14:textId="5884560A" w:rsidR="00181280" w:rsidRPr="00061296" w:rsidRDefault="00181280" w:rsidP="00181280">
      <w:pPr>
        <w:pStyle w:val="BodyText"/>
        <w:rPr>
          <w:color w:val="auto"/>
        </w:rPr>
      </w:pPr>
      <w:r w:rsidRPr="00061296">
        <w:rPr>
          <w:color w:val="auto"/>
        </w:rPr>
        <w:t>MO HealthNet Division (MHD) is continuing the state-specific Preferred Drug List (PDL) evaluation process. Drugs/</w:t>
      </w:r>
      <w:r>
        <w:rPr>
          <w:color w:val="auto"/>
        </w:rPr>
        <w:t>d</w:t>
      </w:r>
      <w:r w:rsidRPr="00061296">
        <w:rPr>
          <w:color w:val="auto"/>
        </w:rPr>
        <w:t>rug classes for review for the upcoming quarter are identified at each of the quarterly meetings of the Drug Prior Authorization</w:t>
      </w:r>
      <w:r>
        <w:rPr>
          <w:color w:val="auto"/>
        </w:rPr>
        <w:t xml:space="preserve"> </w:t>
      </w:r>
      <w:r w:rsidRPr="00061296">
        <w:rPr>
          <w:color w:val="auto"/>
        </w:rPr>
        <w:t>Committee</w:t>
      </w:r>
      <w:r w:rsidR="00264BF2">
        <w:rPr>
          <w:color w:val="auto"/>
        </w:rPr>
        <w:t xml:space="preserve"> (DPAC)</w:t>
      </w:r>
      <w:r w:rsidRPr="00061296">
        <w:rPr>
          <w:color w:val="auto"/>
        </w:rPr>
        <w:t xml:space="preserve"> and also posted on the Division’s web page at</w:t>
      </w:r>
      <w:r>
        <w:rPr>
          <w:color w:val="auto"/>
        </w:rPr>
        <w:t xml:space="preserve"> </w:t>
      </w:r>
      <w:hyperlink r:id="rId10" w:history="1">
        <w:r w:rsidRPr="00AC5A87">
          <w:rPr>
            <w:rStyle w:val="Hyperlink"/>
          </w:rPr>
          <w:t>https://mydss.mo.gov/mhd/pharmacy-committees</w:t>
        </w:r>
      </w:hyperlink>
      <w:r w:rsidRPr="00061296">
        <w:rPr>
          <w:color w:val="auto"/>
        </w:rPr>
        <w:t xml:space="preserve">. </w:t>
      </w:r>
    </w:p>
    <w:p w14:paraId="15A8466E" w14:textId="27D98390" w:rsidR="00181280" w:rsidRPr="00061296" w:rsidRDefault="009412CB" w:rsidP="00181280">
      <w:pPr>
        <w:pStyle w:val="BodyText"/>
        <w:rPr>
          <w:color w:val="auto"/>
        </w:rPr>
      </w:pPr>
      <w:r>
        <w:rPr>
          <w:color w:val="auto"/>
        </w:rPr>
        <w:t>MHD</w:t>
      </w:r>
      <w:r w:rsidR="00181280" w:rsidRPr="00061296">
        <w:rPr>
          <w:color w:val="auto"/>
        </w:rPr>
        <w:t xml:space="preserve">’s clinical team will conduct the clinical reviews of the drug products under evaluation each quarter. For preferred status consideration for your product, a more detailed review request should be presented to MHD. </w:t>
      </w:r>
    </w:p>
    <w:p w14:paraId="7E07090E" w14:textId="77777777" w:rsidR="000909D4" w:rsidRPr="0026036F" w:rsidRDefault="000909D4" w:rsidP="000909D4">
      <w:pPr>
        <w:pStyle w:val="GWBullets"/>
        <w:keepNext/>
        <w:tabs>
          <w:tab w:val="left" w:pos="360"/>
        </w:tabs>
        <w:spacing w:after="0"/>
        <w:ind w:left="360"/>
      </w:pPr>
      <w:r w:rsidRPr="00061296">
        <w:rPr>
          <w:color w:val="auto"/>
        </w:rPr>
        <w:t xml:space="preserve">Financial evaluations for these therapeutic class reviews are conducted by Gainwell Technologies, LLC. Companies wishing to discuss opportunities for supplemental rebates and/or the policy surrounding the PDL process should contact </w:t>
      </w:r>
      <w:hyperlink r:id="rId11" w:history="1">
        <w:r w:rsidRPr="002040D1">
          <w:rPr>
            <w:rStyle w:val="Hyperlink"/>
          </w:rPr>
          <w:t>GWTContracting@gainwelltechnologies.com</w:t>
        </w:r>
      </w:hyperlink>
      <w:r>
        <w:rPr>
          <w:color w:val="auto"/>
        </w:rPr>
        <w:t xml:space="preserve">, </w:t>
      </w:r>
    </w:p>
    <w:p w14:paraId="0B917652" w14:textId="422088DD" w:rsidR="000909D4" w:rsidRPr="007D21F4" w:rsidRDefault="000909D4" w:rsidP="000A1F2B">
      <w:pPr>
        <w:pStyle w:val="GWBullets"/>
        <w:keepNext/>
        <w:numPr>
          <w:ilvl w:val="0"/>
          <w:numId w:val="0"/>
        </w:numPr>
        <w:tabs>
          <w:tab w:val="left" w:pos="360"/>
        </w:tabs>
        <w:spacing w:after="0"/>
        <w:ind w:left="360"/>
      </w:pPr>
      <w:r w:rsidRPr="00061296">
        <w:rPr>
          <w:color w:val="auto"/>
        </w:rPr>
        <w:t xml:space="preserve">Sandy Kapur </w:t>
      </w:r>
      <w:r>
        <w:rPr>
          <w:color w:val="auto"/>
        </w:rPr>
        <w:t>(</w:t>
      </w:r>
      <w:hyperlink r:id="rId12" w:history="1">
        <w:r w:rsidRPr="007D21F4">
          <w:rPr>
            <w:rStyle w:val="Hyperlink"/>
          </w:rPr>
          <w:t>sandy.kapur@gainwelltechnologies.com</w:t>
        </w:r>
      </w:hyperlink>
      <w:r>
        <w:rPr>
          <w:color w:val="auto"/>
        </w:rPr>
        <w:t>) and Megan Fast (</w:t>
      </w:r>
      <w:hyperlink r:id="rId13" w:history="1">
        <w:r w:rsidRPr="00AC5A87">
          <w:rPr>
            <w:rStyle w:val="Hyperlink"/>
          </w:rPr>
          <w:t>megan.fast@gainwelltechnologies.com</w:t>
        </w:r>
      </w:hyperlink>
      <w:r>
        <w:rPr>
          <w:color w:val="auto"/>
        </w:rPr>
        <w:t xml:space="preserve">). </w:t>
      </w:r>
      <w:r w:rsidRPr="007D21F4">
        <w:t xml:space="preserve"> </w:t>
      </w:r>
    </w:p>
    <w:p w14:paraId="73A293FE" w14:textId="132B9B4B" w:rsidR="00181280" w:rsidRPr="007D21F4" w:rsidRDefault="00181280" w:rsidP="004550FB">
      <w:pPr>
        <w:pStyle w:val="GWBullets"/>
        <w:tabs>
          <w:tab w:val="left" w:pos="360"/>
        </w:tabs>
        <w:ind w:left="360"/>
      </w:pPr>
      <w:r w:rsidRPr="00061296">
        <w:rPr>
          <w:color w:val="auto"/>
        </w:rPr>
        <w:t xml:space="preserve">All clinical information for consideration should be forwarded to </w:t>
      </w:r>
      <w:r w:rsidR="004A1242" w:rsidRPr="004550FB">
        <w:rPr>
          <w:color w:val="auto"/>
        </w:rPr>
        <w:t xml:space="preserve">Gainwell Technologies’ </w:t>
      </w:r>
      <w:r w:rsidR="004A1242" w:rsidRPr="00421366">
        <w:rPr>
          <w:color w:val="auto"/>
        </w:rPr>
        <w:t xml:space="preserve">Clinical Services department at </w:t>
      </w:r>
      <w:hyperlink r:id="rId14" w:history="1">
        <w:r w:rsidR="004A1242" w:rsidRPr="00EE3855">
          <w:rPr>
            <w:rStyle w:val="Hyperlink"/>
          </w:rPr>
          <w:t>pbmclinicalservices@gainwelltechnologies.com</w:t>
        </w:r>
      </w:hyperlink>
      <w:r w:rsidR="004A1242" w:rsidRPr="00421366">
        <w:rPr>
          <w:color w:val="auto"/>
        </w:rPr>
        <w:t>; please include “</w:t>
      </w:r>
      <w:r w:rsidR="004A1242" w:rsidRPr="00377E3F">
        <w:rPr>
          <w:b/>
          <w:bCs/>
          <w:color w:val="auto"/>
        </w:rPr>
        <w:t>MO HealthNet DPAC Clinical Information</w:t>
      </w:r>
      <w:r w:rsidR="004A1242" w:rsidRPr="00421366">
        <w:rPr>
          <w:color w:val="auto"/>
        </w:rPr>
        <w:t>” at the beginning of the subject line</w:t>
      </w:r>
      <w:r w:rsidRPr="00061296">
        <w:rPr>
          <w:color w:val="auto"/>
        </w:rPr>
        <w:t xml:space="preserve">. These submissions should generally follow the AMCP guideline format. </w:t>
      </w:r>
    </w:p>
    <w:p w14:paraId="2651077C" w14:textId="7FA97DD7" w:rsidR="00181280" w:rsidRPr="007D21F4" w:rsidRDefault="00181280" w:rsidP="004550FB">
      <w:pPr>
        <w:pStyle w:val="GWBullets"/>
        <w:tabs>
          <w:tab w:val="left" w:pos="360"/>
        </w:tabs>
        <w:spacing w:after="120"/>
        <w:ind w:left="360"/>
      </w:pPr>
      <w:r w:rsidRPr="00061296">
        <w:rPr>
          <w:color w:val="auto"/>
        </w:rPr>
        <w:t xml:space="preserve">If a public presentation is desired, </w:t>
      </w:r>
      <w:r w:rsidR="0055432A">
        <w:rPr>
          <w:color w:val="auto"/>
        </w:rPr>
        <w:t xml:space="preserve">register at </w:t>
      </w:r>
      <w:hyperlink r:id="rId15" w:history="1">
        <w:r w:rsidR="0055432A" w:rsidRPr="00DA3194">
          <w:rPr>
            <w:rStyle w:val="Hyperlink"/>
          </w:rPr>
          <w:t>https://stateofmissouri.wufoo.com/forms/dss-registration-for-public-testimony-advisory/</w:t>
        </w:r>
      </w:hyperlink>
      <w:r w:rsidRPr="00061296">
        <w:rPr>
          <w:color w:val="auto"/>
        </w:rPr>
        <w:t xml:space="preserve">. </w:t>
      </w:r>
    </w:p>
    <w:p w14:paraId="319131CF" w14:textId="5D48410F" w:rsidR="00222A3D" w:rsidRPr="00377E3F" w:rsidRDefault="00C82F1A" w:rsidP="00B05AE9">
      <w:pPr>
        <w:spacing w:after="120"/>
        <w:ind w:left="0" w:firstLine="0"/>
        <w:jc w:val="center"/>
        <w:rPr>
          <w:rFonts w:ascii="Arial" w:hAnsi="Arial" w:cs="Arial"/>
          <w:b/>
          <w:bCs/>
          <w:color w:val="auto"/>
        </w:rPr>
      </w:pPr>
      <w:r w:rsidRPr="00377E3F">
        <w:rPr>
          <w:rFonts w:ascii="Arial" w:hAnsi="Arial" w:cs="Arial"/>
          <w:b/>
          <w:bCs/>
          <w:color w:val="auto"/>
        </w:rPr>
        <w:t xml:space="preserve">The Drug PA Committee will convene at </w:t>
      </w:r>
      <w:r w:rsidR="0069670B">
        <w:rPr>
          <w:rFonts w:ascii="Arial" w:hAnsi="Arial" w:cs="Arial"/>
          <w:b/>
          <w:bCs/>
          <w:color w:val="auto"/>
        </w:rPr>
        <w:t>9</w:t>
      </w:r>
      <w:r w:rsidRPr="00377E3F">
        <w:rPr>
          <w:rFonts w:ascii="Arial" w:hAnsi="Arial" w:cs="Arial"/>
          <w:b/>
          <w:bCs/>
          <w:color w:val="auto"/>
        </w:rPr>
        <w:t>:00 a.m. on</w:t>
      </w:r>
      <w:r w:rsidR="00354887" w:rsidRPr="00377E3F">
        <w:rPr>
          <w:rFonts w:ascii="Arial" w:hAnsi="Arial" w:cs="Arial"/>
          <w:b/>
          <w:bCs/>
          <w:color w:val="auto"/>
        </w:rPr>
        <w:t xml:space="preserve"> </w:t>
      </w:r>
      <w:sdt>
        <w:sdtPr>
          <w:rPr>
            <w:rFonts w:ascii="Arial" w:hAnsi="Arial" w:cs="Arial"/>
            <w:b/>
            <w:bCs/>
            <w:color w:val="auto"/>
          </w:rPr>
          <w:id w:val="836344514"/>
          <w:placeholder>
            <w:docPart w:val="276E2D7335C3418A9CFA3747C34F70FB"/>
          </w:placeholder>
          <w:date w:fullDate="2026-07-14T00:00:00Z"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="00354887" w:rsidRPr="00377E3F">
            <w:rPr>
              <w:rFonts w:ascii="Arial" w:hAnsi="Arial" w:cs="Arial"/>
              <w:b/>
              <w:bCs/>
              <w:color w:val="auto"/>
            </w:rPr>
            <w:t>Tuesday, July 14, 2026</w:t>
          </w:r>
        </w:sdtContent>
      </w:sdt>
      <w:r w:rsidRPr="00377E3F">
        <w:rPr>
          <w:rFonts w:ascii="Arial" w:hAnsi="Arial" w:cs="Arial"/>
          <w:b/>
          <w:bCs/>
          <w:color w:val="auto"/>
        </w:rPr>
        <w:t>.</w:t>
      </w:r>
    </w:p>
    <w:p w14:paraId="6FF309F6" w14:textId="77777777" w:rsidR="003700DF" w:rsidRPr="007A5B60" w:rsidRDefault="003700DF" w:rsidP="00E21F57"/>
    <w:p w14:paraId="50FD8D3A" w14:textId="38F0261D" w:rsidR="006E1FD0" w:rsidRDefault="006E1FD0" w:rsidP="006E1FD0">
      <w:pPr>
        <w:pStyle w:val="Heading2"/>
      </w:pPr>
      <w:r>
        <w:t>DERMATOLOGIC AGENTS</w:t>
      </w:r>
    </w:p>
    <w:p w14:paraId="2268F3C3" w14:textId="0EB44026" w:rsidR="006E1FD0" w:rsidRDefault="006E1FD0" w:rsidP="006E1FD0">
      <w:pPr>
        <w:pStyle w:val="GWBullets"/>
      </w:pPr>
      <w:r>
        <w:t>Oral Agents for Psoriasis</w:t>
      </w:r>
    </w:p>
    <w:p w14:paraId="7DE28337" w14:textId="3E921D69" w:rsidR="00262A07" w:rsidRDefault="00262A07" w:rsidP="006E1FD0">
      <w:pPr>
        <w:pStyle w:val="GWBullets"/>
      </w:pPr>
      <w:r>
        <w:t>Topical Immunomodulators</w:t>
      </w:r>
    </w:p>
    <w:p w14:paraId="51B6ADD7" w14:textId="64A77EF6" w:rsidR="00262A07" w:rsidRDefault="00262A07" w:rsidP="006E1FD0">
      <w:pPr>
        <w:pStyle w:val="GWBullets"/>
      </w:pPr>
      <w:r>
        <w:t>Topical Vitamin D Analogs</w:t>
      </w:r>
    </w:p>
    <w:p w14:paraId="03A188A1" w14:textId="77777777" w:rsidR="006E1FD0" w:rsidRDefault="006E1FD0" w:rsidP="006E1FD0">
      <w:pPr>
        <w:pStyle w:val="Heading2"/>
      </w:pPr>
      <w:r>
        <w:t>ENDOCRINE AND METABOLIC AGENTS</w:t>
      </w:r>
    </w:p>
    <w:p w14:paraId="670344F4" w14:textId="77777777" w:rsidR="006E1FD0" w:rsidRDefault="006E1FD0" w:rsidP="006E1FD0">
      <w:pPr>
        <w:pStyle w:val="GWBullets"/>
      </w:pPr>
      <w:r>
        <w:t>Antihyperglycemic, Alpha Glucosidase Inhibitor</w:t>
      </w:r>
    </w:p>
    <w:p w14:paraId="037934E3" w14:textId="77777777" w:rsidR="006E1FD0" w:rsidRDefault="006E1FD0" w:rsidP="006E1FD0">
      <w:pPr>
        <w:pStyle w:val="GWBullets"/>
      </w:pPr>
      <w:r>
        <w:t>Antihyperglycemic, Biguanide &amp; Combination Agents</w:t>
      </w:r>
    </w:p>
    <w:p w14:paraId="5BEE9FB0" w14:textId="77777777" w:rsidR="006E1FD0" w:rsidRDefault="006E1FD0" w:rsidP="006E1FD0">
      <w:pPr>
        <w:pStyle w:val="GWBullets"/>
      </w:pPr>
      <w:r>
        <w:t>Antihyperglycemic, Dipeptidyl Peptidase-4 (DPP-IV) Inhibitors &amp; Combination Agents</w:t>
      </w:r>
    </w:p>
    <w:p w14:paraId="44DD98A1" w14:textId="77777777" w:rsidR="006E1FD0" w:rsidRDefault="006E1FD0" w:rsidP="006E1FD0">
      <w:pPr>
        <w:pStyle w:val="GWBullets"/>
      </w:pPr>
      <w:r>
        <w:t>Antihyperglycemic, Oral Sulfonylurea, 2nd Generation</w:t>
      </w:r>
    </w:p>
    <w:p w14:paraId="04353986" w14:textId="77777777" w:rsidR="006E1FD0" w:rsidRDefault="006E1FD0" w:rsidP="006E1FD0">
      <w:pPr>
        <w:pStyle w:val="GWBullets"/>
      </w:pPr>
      <w:r>
        <w:t>Antihyperglycemic, Thiazolidinediones (TZDs) &amp; Combination Agents</w:t>
      </w:r>
    </w:p>
    <w:p w14:paraId="08EC85C7" w14:textId="77777777" w:rsidR="006E1FD0" w:rsidRDefault="006E1FD0" w:rsidP="006E1FD0">
      <w:pPr>
        <w:pStyle w:val="GWBullets"/>
      </w:pPr>
      <w:r>
        <w:t>Growth Hormone Releasing Factors, Select Agents</w:t>
      </w:r>
    </w:p>
    <w:p w14:paraId="74D4CA54" w14:textId="77777777" w:rsidR="006E1FD0" w:rsidRDefault="006E1FD0" w:rsidP="006E1FD0">
      <w:pPr>
        <w:pStyle w:val="GWBullets"/>
      </w:pPr>
      <w:r>
        <w:t>Growth Hormones, Long-acting, Somatropin Agents</w:t>
      </w:r>
    </w:p>
    <w:p w14:paraId="2262EAB5" w14:textId="77777777" w:rsidR="006E1FD0" w:rsidRDefault="006E1FD0" w:rsidP="006E1FD0">
      <w:pPr>
        <w:pStyle w:val="GWBullets"/>
      </w:pPr>
      <w:r>
        <w:t>Growth Hormones, Short-acting, Somatropin Agents</w:t>
      </w:r>
    </w:p>
    <w:p w14:paraId="47D2F4B3" w14:textId="77777777" w:rsidR="006E1FD0" w:rsidRDefault="006E1FD0" w:rsidP="006E1FD0">
      <w:pPr>
        <w:pStyle w:val="GWBullets"/>
      </w:pPr>
      <w:r>
        <w:t xml:space="preserve">Insulins, </w:t>
      </w:r>
      <w:proofErr w:type="gramStart"/>
      <w:r>
        <w:t>Long-acting</w:t>
      </w:r>
      <w:proofErr w:type="gramEnd"/>
    </w:p>
    <w:p w14:paraId="030253CB" w14:textId="77777777" w:rsidR="006E1FD0" w:rsidRDefault="006E1FD0" w:rsidP="006E1FD0">
      <w:pPr>
        <w:pStyle w:val="GWBullets"/>
      </w:pPr>
      <w:r>
        <w:t>Insulins, Mix</w:t>
      </w:r>
    </w:p>
    <w:p w14:paraId="0B554148" w14:textId="77777777" w:rsidR="006E1FD0" w:rsidRDefault="006E1FD0" w:rsidP="006E1FD0">
      <w:pPr>
        <w:pStyle w:val="GWBullets"/>
      </w:pPr>
      <w:r>
        <w:lastRenderedPageBreak/>
        <w:t xml:space="preserve">Insulins, </w:t>
      </w:r>
      <w:proofErr w:type="gramStart"/>
      <w:r>
        <w:t>Non-analogs</w:t>
      </w:r>
      <w:proofErr w:type="gramEnd"/>
    </w:p>
    <w:p w14:paraId="60B612EA" w14:textId="77777777" w:rsidR="006E1FD0" w:rsidRDefault="006E1FD0" w:rsidP="006E1FD0">
      <w:pPr>
        <w:pStyle w:val="GWBullets"/>
      </w:pPr>
      <w:r>
        <w:t>Insulins, Rapid-acting</w:t>
      </w:r>
    </w:p>
    <w:p w14:paraId="44008ED6" w14:textId="77777777" w:rsidR="006E1FD0" w:rsidRDefault="006E1FD0" w:rsidP="006E1FD0">
      <w:pPr>
        <w:pStyle w:val="GWBullets"/>
      </w:pPr>
      <w:r>
        <w:t>LHRH, GnRH Antagonists, Injectable</w:t>
      </w:r>
    </w:p>
    <w:p w14:paraId="6474919D" w14:textId="77777777" w:rsidR="006E1FD0" w:rsidRDefault="006E1FD0" w:rsidP="006E1FD0">
      <w:pPr>
        <w:pStyle w:val="GWBullets"/>
      </w:pPr>
      <w:r>
        <w:t>LHRH, GnRH Antagonists, Oral</w:t>
      </w:r>
    </w:p>
    <w:p w14:paraId="6703271F" w14:textId="77777777" w:rsidR="006E1FD0" w:rsidRDefault="006E1FD0" w:rsidP="006E1FD0">
      <w:pPr>
        <w:pStyle w:val="GWBullets"/>
      </w:pPr>
      <w:r>
        <w:t>SGLT-Inhibitors &amp; Combination Agents</w:t>
      </w:r>
    </w:p>
    <w:p w14:paraId="03291576" w14:textId="77777777" w:rsidR="006E1FD0" w:rsidRDefault="006E1FD0" w:rsidP="006E1FD0">
      <w:pPr>
        <w:pStyle w:val="Heading2"/>
      </w:pPr>
      <w:r>
        <w:t>IMMUNOLOGIC AGENTS</w:t>
      </w:r>
    </w:p>
    <w:p w14:paraId="5A2905AA" w14:textId="77777777" w:rsidR="006E1FD0" w:rsidRDefault="006E1FD0" w:rsidP="006E1FD0">
      <w:pPr>
        <w:pStyle w:val="GWBullets"/>
      </w:pPr>
      <w:r>
        <w:t>Complement Inhibitors, Systemic</w:t>
      </w:r>
    </w:p>
    <w:p w14:paraId="72CB34A2" w14:textId="305EB109" w:rsidR="006E1FD0" w:rsidRDefault="003700DF" w:rsidP="003700DF">
      <w:pPr>
        <w:pStyle w:val="GWBullets"/>
      </w:pPr>
      <w:r w:rsidRPr="003866DE">
        <w:t>Endothelin Receptor Antagonists</w:t>
      </w:r>
      <w:r>
        <w:t xml:space="preserve"> for </w:t>
      </w:r>
      <w:r w:rsidR="00EA60C8" w:rsidRPr="003866DE">
        <w:t>IgA Nephropathy</w:t>
      </w:r>
      <w:r w:rsidDel="003700DF">
        <w:t xml:space="preserve"> </w:t>
      </w:r>
    </w:p>
    <w:p w14:paraId="6EC481F3" w14:textId="61135CE7" w:rsidR="00FB5E22" w:rsidRDefault="00FB5E22" w:rsidP="00FB5E22">
      <w:pPr>
        <w:pStyle w:val="GWBullets"/>
      </w:pPr>
      <w:r>
        <w:t>Immune Modulators, Multiple Sclerosis, Injectable Agents</w:t>
      </w:r>
    </w:p>
    <w:p w14:paraId="03BA3188" w14:textId="31FCEF70" w:rsidR="00FB5E22" w:rsidRDefault="00FB5E22" w:rsidP="00FB5E22">
      <w:pPr>
        <w:pStyle w:val="GWBullets"/>
      </w:pPr>
      <w:r>
        <w:t>Immune Modulators, Multiple Sclerosis, Oral Agents</w:t>
      </w:r>
    </w:p>
    <w:p w14:paraId="78AF0E94" w14:textId="49B704B7" w:rsidR="006E1FD0" w:rsidRDefault="006E1FD0" w:rsidP="006E1FD0">
      <w:pPr>
        <w:pStyle w:val="GWBullets"/>
      </w:pPr>
      <w:r>
        <w:t>Systemic Immunomodulators, Cryopyrin-associated Periodic Syndrome (CAPS) Agents</w:t>
      </w:r>
    </w:p>
    <w:p w14:paraId="6E30A805" w14:textId="1D12B473" w:rsidR="008C6D88" w:rsidRDefault="008C6D88" w:rsidP="006E1FD0">
      <w:pPr>
        <w:pStyle w:val="GWBullets"/>
      </w:pPr>
      <w:r>
        <w:t>Targeted Immune Modulators (TIMs), Generalized Myasthenia Gravis</w:t>
      </w:r>
    </w:p>
    <w:p w14:paraId="76CF9E67" w14:textId="77777777" w:rsidR="008C6D88" w:rsidRDefault="008C6D88" w:rsidP="008C6D88">
      <w:pPr>
        <w:pStyle w:val="GWBullets"/>
      </w:pPr>
      <w:r>
        <w:t>TIMs, IL-6 Receptor Inhibitors</w:t>
      </w:r>
    </w:p>
    <w:p w14:paraId="6ECF3AF9" w14:textId="5D72FEF7" w:rsidR="006E1FD0" w:rsidRDefault="006E1FD0" w:rsidP="006E1FD0">
      <w:pPr>
        <w:pStyle w:val="GWBullets"/>
      </w:pPr>
      <w:r>
        <w:t xml:space="preserve">TIMs, IL-17A Antibody/IL-17 Receptor Antagonists </w:t>
      </w:r>
    </w:p>
    <w:p w14:paraId="1F16625D" w14:textId="77777777" w:rsidR="006E1FD0" w:rsidRDefault="006E1FD0" w:rsidP="006E1FD0">
      <w:pPr>
        <w:pStyle w:val="GWBullets"/>
      </w:pPr>
      <w:r>
        <w:t>TIMs, IL-23 Inhibitors and IL-23/IL-12 Inhibitors</w:t>
      </w:r>
    </w:p>
    <w:p w14:paraId="753F00DF" w14:textId="77777777" w:rsidR="006E1FD0" w:rsidRDefault="006E1FD0" w:rsidP="006E1FD0">
      <w:pPr>
        <w:pStyle w:val="GWBullets"/>
      </w:pPr>
      <w:r>
        <w:t>TIMs, JAK Inhibitors</w:t>
      </w:r>
    </w:p>
    <w:p w14:paraId="0D1159FC" w14:textId="77777777" w:rsidR="006E1FD0" w:rsidRDefault="006E1FD0" w:rsidP="006E1FD0">
      <w:pPr>
        <w:pStyle w:val="GWBullets"/>
      </w:pPr>
      <w:r>
        <w:t>TIMs, Lupus</w:t>
      </w:r>
    </w:p>
    <w:p w14:paraId="6DB5CC78" w14:textId="77777777" w:rsidR="006E1FD0" w:rsidRDefault="006E1FD0" w:rsidP="006E1FD0">
      <w:pPr>
        <w:pStyle w:val="GWBullets"/>
      </w:pPr>
      <w:r>
        <w:t>TIMs, Misc. Allergy and Asthma-related Antibodies</w:t>
      </w:r>
    </w:p>
    <w:p w14:paraId="72721313" w14:textId="77777777" w:rsidR="006E1FD0" w:rsidRDefault="006E1FD0" w:rsidP="006E1FD0">
      <w:pPr>
        <w:pStyle w:val="GWBullets"/>
      </w:pPr>
      <w:r>
        <w:t>TIMs, Select Agents</w:t>
      </w:r>
    </w:p>
    <w:p w14:paraId="1D52A6EE" w14:textId="77777777" w:rsidR="006E1FD0" w:rsidRDefault="006E1FD0" w:rsidP="006E1FD0">
      <w:pPr>
        <w:pStyle w:val="GWBullets"/>
      </w:pPr>
      <w:r>
        <w:t>TIMs, TNF Inhibitors</w:t>
      </w:r>
    </w:p>
    <w:p w14:paraId="06DAC903" w14:textId="77777777" w:rsidR="006E1FD0" w:rsidRDefault="006E1FD0" w:rsidP="009F3497">
      <w:pPr>
        <w:pStyle w:val="Heading2"/>
      </w:pPr>
      <w:r>
        <w:t>MISCELLANEOUS</w:t>
      </w:r>
    </w:p>
    <w:p w14:paraId="125E35AF" w14:textId="77777777" w:rsidR="006E1FD0" w:rsidRDefault="006E1FD0" w:rsidP="006E1FD0">
      <w:pPr>
        <w:pStyle w:val="GWBullets"/>
      </w:pPr>
      <w:r>
        <w:t>Methotrexate Products</w:t>
      </w:r>
    </w:p>
    <w:p w14:paraId="35CEA8CE" w14:textId="77777777" w:rsidR="006E1FD0" w:rsidRDefault="006E1FD0" w:rsidP="006E1FD0">
      <w:pPr>
        <w:pStyle w:val="Heading2"/>
      </w:pPr>
      <w:r>
        <w:t>RENAL AND GENITOURINARY</w:t>
      </w:r>
    </w:p>
    <w:p w14:paraId="719ADFD9" w14:textId="542EC9E4" w:rsidR="00A64C1E" w:rsidRDefault="006E1FD0" w:rsidP="006E1FD0">
      <w:pPr>
        <w:pStyle w:val="GWBullets"/>
      </w:pPr>
      <w:r>
        <w:t>Urinary Tract Antispasmodics</w:t>
      </w:r>
    </w:p>
    <w:p w14:paraId="3069B45B" w14:textId="4AD12A4A" w:rsidR="00231EBA" w:rsidRDefault="00C82F1A" w:rsidP="00BF70E2">
      <w:pPr>
        <w:spacing w:after="0" w:line="259" w:lineRule="auto"/>
        <w:ind w:left="0" w:right="0" w:firstLine="0"/>
      </w:pPr>
      <w:r>
        <w:rPr>
          <w:sz w:val="24"/>
        </w:rPr>
        <w:t xml:space="preserve"> </w:t>
      </w:r>
      <w:r>
        <w:t xml:space="preserve"> </w:t>
      </w:r>
    </w:p>
    <w:sectPr w:rsidR="00231EBA" w:rsidSect="004550FB">
      <w:headerReference w:type="default" r:id="rId16"/>
      <w:footerReference w:type="default" r:id="rId17"/>
      <w:pgSz w:w="12240" w:h="15840"/>
      <w:pgMar w:top="1080" w:right="1080" w:bottom="1080" w:left="1080" w:header="432" w:footer="43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B955C" w14:textId="77777777" w:rsidR="007E7553" w:rsidRDefault="007E7553" w:rsidP="006C0399">
      <w:pPr>
        <w:spacing w:after="0" w:line="240" w:lineRule="auto"/>
      </w:pPr>
      <w:r>
        <w:separator/>
      </w:r>
    </w:p>
  </w:endnote>
  <w:endnote w:type="continuationSeparator" w:id="0">
    <w:p w14:paraId="2AEF8E4B" w14:textId="77777777" w:rsidR="007E7553" w:rsidRDefault="007E7553" w:rsidP="006C0399">
      <w:pPr>
        <w:spacing w:after="0" w:line="240" w:lineRule="auto"/>
      </w:pPr>
      <w:r>
        <w:continuationSeparator/>
      </w:r>
    </w:p>
  </w:endnote>
  <w:endnote w:type="continuationNotice" w:id="1">
    <w:p w14:paraId="07D6D14F" w14:textId="77777777" w:rsidR="007E7553" w:rsidRDefault="007E755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6936999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40E18C1C" w14:textId="5FBEE0AD" w:rsidR="006C0399" w:rsidRPr="003B214C" w:rsidRDefault="006C0399">
        <w:pPr>
          <w:pStyle w:val="Footer"/>
          <w:jc w:val="right"/>
          <w:rPr>
            <w:rFonts w:ascii="Arial" w:hAnsi="Arial" w:cs="Arial"/>
          </w:rPr>
        </w:pPr>
        <w:r w:rsidRPr="003B214C">
          <w:rPr>
            <w:rFonts w:ascii="Arial" w:hAnsi="Arial" w:cs="Arial"/>
          </w:rPr>
          <w:fldChar w:fldCharType="begin"/>
        </w:r>
        <w:r w:rsidRPr="003B214C">
          <w:rPr>
            <w:rFonts w:ascii="Arial" w:hAnsi="Arial" w:cs="Arial"/>
          </w:rPr>
          <w:instrText xml:space="preserve"> PAGE   \* MERGEFORMAT </w:instrText>
        </w:r>
        <w:r w:rsidRPr="003B214C">
          <w:rPr>
            <w:rFonts w:ascii="Arial" w:hAnsi="Arial" w:cs="Arial"/>
          </w:rPr>
          <w:fldChar w:fldCharType="separate"/>
        </w:r>
        <w:r w:rsidRPr="003B214C">
          <w:rPr>
            <w:rFonts w:ascii="Arial" w:hAnsi="Arial" w:cs="Arial"/>
            <w:noProof/>
          </w:rPr>
          <w:t>2</w:t>
        </w:r>
        <w:r w:rsidRPr="003B214C">
          <w:rPr>
            <w:rFonts w:ascii="Arial" w:hAnsi="Arial" w:cs="Arial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81CA2" w14:textId="77777777" w:rsidR="007E7553" w:rsidRDefault="007E7553" w:rsidP="006C0399">
      <w:pPr>
        <w:spacing w:after="0" w:line="240" w:lineRule="auto"/>
      </w:pPr>
      <w:r>
        <w:separator/>
      </w:r>
    </w:p>
  </w:footnote>
  <w:footnote w:type="continuationSeparator" w:id="0">
    <w:p w14:paraId="74BD8825" w14:textId="77777777" w:rsidR="007E7553" w:rsidRDefault="007E7553" w:rsidP="006C0399">
      <w:pPr>
        <w:spacing w:after="0" w:line="240" w:lineRule="auto"/>
      </w:pPr>
      <w:r>
        <w:continuationSeparator/>
      </w:r>
    </w:p>
  </w:footnote>
  <w:footnote w:type="continuationNotice" w:id="1">
    <w:p w14:paraId="3E462380" w14:textId="77777777" w:rsidR="007E7553" w:rsidRDefault="007E755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0FC16B" w14:textId="0DCE621C" w:rsidR="003E5A49" w:rsidRDefault="003E5A49" w:rsidP="004550FB">
    <w:pPr>
      <w:pStyle w:val="Header"/>
      <w:spacing w:after="60"/>
      <w:ind w:left="115" w:right="29" w:hanging="14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019D6C" wp14:editId="3D6A8CCE">
          <wp:simplePos x="0" y="0"/>
          <wp:positionH relativeFrom="margin">
            <wp:align>right</wp:align>
          </wp:positionH>
          <wp:positionV relativeFrom="paragraph">
            <wp:posOffset>114300</wp:posOffset>
          </wp:positionV>
          <wp:extent cx="1779905" cy="438785"/>
          <wp:effectExtent l="0" t="0" r="0" b="0"/>
          <wp:wrapThrough wrapText="bothSides">
            <wp:wrapPolygon edited="0">
              <wp:start x="18726" y="0"/>
              <wp:lineTo x="0" y="2813"/>
              <wp:lineTo x="0" y="20631"/>
              <wp:lineTo x="2543" y="20631"/>
              <wp:lineTo x="21269" y="16880"/>
              <wp:lineTo x="21269" y="0"/>
              <wp:lineTo x="18726" y="0"/>
            </wp:wrapPolygon>
          </wp:wrapThrough>
          <wp:docPr id="1" name="Picture 1" descr="Gainwell Technologie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ainwell Technologies 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79905" cy="438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1D23FA8F" wp14:editId="25930A20">
          <wp:extent cx="3276600" cy="685800"/>
          <wp:effectExtent l="0" t="0" r="0" b="0"/>
          <wp:docPr id="171" name="Picture 171" descr="MO HealthNe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" name="Picture 171" descr="MO HealthNet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766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40A9A"/>
    <w:multiLevelType w:val="hybridMultilevel"/>
    <w:tmpl w:val="B86CA9AE"/>
    <w:lvl w:ilvl="0" w:tplc="040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" w15:restartNumberingAfterBreak="0">
    <w:nsid w:val="0DC26F85"/>
    <w:multiLevelType w:val="hybridMultilevel"/>
    <w:tmpl w:val="42C6046E"/>
    <w:lvl w:ilvl="0" w:tplc="4CF2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6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F00A96"/>
    <w:multiLevelType w:val="hybridMultilevel"/>
    <w:tmpl w:val="89EA56D2"/>
    <w:lvl w:ilvl="0" w:tplc="4CF2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6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701F30"/>
    <w:multiLevelType w:val="hybridMultilevel"/>
    <w:tmpl w:val="96FCC85A"/>
    <w:lvl w:ilvl="0" w:tplc="C0AAC670">
      <w:start w:val="1"/>
      <w:numFmt w:val="bullet"/>
      <w:pStyle w:val="GWBullets"/>
      <w:lvlText w:val=""/>
      <w:lvlJc w:val="left"/>
      <w:pPr>
        <w:ind w:left="1890" w:hanging="360"/>
      </w:pPr>
      <w:rPr>
        <w:rFonts w:ascii="Symbol" w:hAnsi="Symbol" w:hint="default"/>
        <w:color w:val="00961D"/>
      </w:rPr>
    </w:lvl>
    <w:lvl w:ilvl="1" w:tplc="BAD646D6">
      <w:start w:val="1"/>
      <w:numFmt w:val="bullet"/>
      <w:pStyle w:val="GWBullets2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4" w15:restartNumberingAfterBreak="0">
    <w:nsid w:val="4D376EB4"/>
    <w:multiLevelType w:val="hybridMultilevel"/>
    <w:tmpl w:val="76400108"/>
    <w:lvl w:ilvl="0" w:tplc="FE1C169E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426850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AE3466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4881DC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4698E6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4AF40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2EC5A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85C1956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4EA094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01D32FB"/>
    <w:multiLevelType w:val="hybridMultilevel"/>
    <w:tmpl w:val="005AC716"/>
    <w:lvl w:ilvl="0" w:tplc="424252C8">
      <w:start w:val="1"/>
      <w:numFmt w:val="bullet"/>
      <w:lvlText w:val="•"/>
      <w:lvlJc w:val="left"/>
      <w:pPr>
        <w:ind w:left="4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0C0954">
      <w:start w:val="1"/>
      <w:numFmt w:val="bullet"/>
      <w:lvlText w:val="o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3EEE7C">
      <w:start w:val="1"/>
      <w:numFmt w:val="bullet"/>
      <w:lvlText w:val="▪"/>
      <w:lvlJc w:val="left"/>
      <w:pPr>
        <w:ind w:left="1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1A003C">
      <w:start w:val="1"/>
      <w:numFmt w:val="bullet"/>
      <w:lvlText w:val="•"/>
      <w:lvlJc w:val="left"/>
      <w:pPr>
        <w:ind w:left="2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28A714">
      <w:start w:val="1"/>
      <w:numFmt w:val="bullet"/>
      <w:lvlText w:val="o"/>
      <w:lvlJc w:val="left"/>
      <w:pPr>
        <w:ind w:left="3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2C6418">
      <w:start w:val="1"/>
      <w:numFmt w:val="bullet"/>
      <w:lvlText w:val="▪"/>
      <w:lvlJc w:val="left"/>
      <w:pPr>
        <w:ind w:left="4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AAF892">
      <w:start w:val="1"/>
      <w:numFmt w:val="bullet"/>
      <w:lvlText w:val="•"/>
      <w:lvlJc w:val="left"/>
      <w:pPr>
        <w:ind w:left="4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5A8A22">
      <w:start w:val="1"/>
      <w:numFmt w:val="bullet"/>
      <w:lvlText w:val="o"/>
      <w:lvlJc w:val="left"/>
      <w:pPr>
        <w:ind w:left="5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CA63D0">
      <w:start w:val="1"/>
      <w:numFmt w:val="bullet"/>
      <w:lvlText w:val="▪"/>
      <w:lvlJc w:val="left"/>
      <w:pPr>
        <w:ind w:left="6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A225C6C"/>
    <w:multiLevelType w:val="hybridMultilevel"/>
    <w:tmpl w:val="D1DC7A4E"/>
    <w:lvl w:ilvl="0" w:tplc="4CF26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961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23211"/>
    <w:multiLevelType w:val="hybridMultilevel"/>
    <w:tmpl w:val="F36052F4"/>
    <w:lvl w:ilvl="0" w:tplc="EA4055BE">
      <w:start w:val="1"/>
      <w:numFmt w:val="bullet"/>
      <w:lvlText w:val="•"/>
      <w:lvlJc w:val="left"/>
      <w:pPr>
        <w:ind w:left="4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D6DD40">
      <w:start w:val="1"/>
      <w:numFmt w:val="bullet"/>
      <w:lvlText w:val="o"/>
      <w:lvlJc w:val="left"/>
      <w:pPr>
        <w:ind w:left="1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CC4206">
      <w:start w:val="1"/>
      <w:numFmt w:val="bullet"/>
      <w:lvlText w:val="▪"/>
      <w:lvlJc w:val="left"/>
      <w:pPr>
        <w:ind w:left="1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204116">
      <w:start w:val="1"/>
      <w:numFmt w:val="bullet"/>
      <w:lvlText w:val="•"/>
      <w:lvlJc w:val="left"/>
      <w:pPr>
        <w:ind w:left="2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2843F4">
      <w:start w:val="1"/>
      <w:numFmt w:val="bullet"/>
      <w:lvlText w:val="o"/>
      <w:lvlJc w:val="left"/>
      <w:pPr>
        <w:ind w:left="3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BE6F74">
      <w:start w:val="1"/>
      <w:numFmt w:val="bullet"/>
      <w:lvlText w:val="▪"/>
      <w:lvlJc w:val="left"/>
      <w:pPr>
        <w:ind w:left="4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7C3BF6">
      <w:start w:val="1"/>
      <w:numFmt w:val="bullet"/>
      <w:lvlText w:val="•"/>
      <w:lvlJc w:val="left"/>
      <w:pPr>
        <w:ind w:left="4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8646FA">
      <w:start w:val="1"/>
      <w:numFmt w:val="bullet"/>
      <w:lvlText w:val="o"/>
      <w:lvlJc w:val="left"/>
      <w:pPr>
        <w:ind w:left="5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C09564">
      <w:start w:val="1"/>
      <w:numFmt w:val="bullet"/>
      <w:lvlText w:val="▪"/>
      <w:lvlJc w:val="left"/>
      <w:pPr>
        <w:ind w:left="6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72256999">
    <w:abstractNumId w:val="5"/>
  </w:num>
  <w:num w:numId="2" w16cid:durableId="1239289830">
    <w:abstractNumId w:val="4"/>
  </w:num>
  <w:num w:numId="3" w16cid:durableId="1409574709">
    <w:abstractNumId w:val="7"/>
  </w:num>
  <w:num w:numId="4" w16cid:durableId="159085277">
    <w:abstractNumId w:val="0"/>
  </w:num>
  <w:num w:numId="5" w16cid:durableId="828129702">
    <w:abstractNumId w:val="3"/>
  </w:num>
  <w:num w:numId="6" w16cid:durableId="1074351994">
    <w:abstractNumId w:val="3"/>
  </w:num>
  <w:num w:numId="7" w16cid:durableId="1708946166">
    <w:abstractNumId w:val="6"/>
  </w:num>
  <w:num w:numId="8" w16cid:durableId="845905044">
    <w:abstractNumId w:val="2"/>
  </w:num>
  <w:num w:numId="9" w16cid:durableId="2107386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BdWSeTeBmiFMnbAKZmgQjRcaJdVxqMlAxHSMm7Ugn5BaJr+UA0XtrA3jxUg1m/qcehDa6Aj9DCIIDa+QDsJZg==" w:salt="DDlkO+Gk8KKmV9aDqOxyV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A3D"/>
    <w:rsid w:val="00005F32"/>
    <w:rsid w:val="00016CDA"/>
    <w:rsid w:val="0004031F"/>
    <w:rsid w:val="000454B2"/>
    <w:rsid w:val="0004743E"/>
    <w:rsid w:val="00051168"/>
    <w:rsid w:val="00061296"/>
    <w:rsid w:val="00075321"/>
    <w:rsid w:val="00083748"/>
    <w:rsid w:val="000909D4"/>
    <w:rsid w:val="000A1F2B"/>
    <w:rsid w:val="000A4B13"/>
    <w:rsid w:val="000C1FC3"/>
    <w:rsid w:val="000C7B4F"/>
    <w:rsid w:val="000E1BFD"/>
    <w:rsid w:val="000F3DBA"/>
    <w:rsid w:val="00102918"/>
    <w:rsid w:val="0011472A"/>
    <w:rsid w:val="001215E1"/>
    <w:rsid w:val="0012494C"/>
    <w:rsid w:val="00127723"/>
    <w:rsid w:val="00130E77"/>
    <w:rsid w:val="001310B0"/>
    <w:rsid w:val="0014787A"/>
    <w:rsid w:val="00151310"/>
    <w:rsid w:val="0016799F"/>
    <w:rsid w:val="00172950"/>
    <w:rsid w:val="00181280"/>
    <w:rsid w:val="001824B7"/>
    <w:rsid w:val="001928C1"/>
    <w:rsid w:val="00194F3F"/>
    <w:rsid w:val="001C7FFD"/>
    <w:rsid w:val="001E0FC5"/>
    <w:rsid w:val="001F393B"/>
    <w:rsid w:val="001F66C9"/>
    <w:rsid w:val="00202835"/>
    <w:rsid w:val="0022085F"/>
    <w:rsid w:val="00220C30"/>
    <w:rsid w:val="00222A3D"/>
    <w:rsid w:val="00231EBA"/>
    <w:rsid w:val="00240D67"/>
    <w:rsid w:val="00255B8B"/>
    <w:rsid w:val="002601BB"/>
    <w:rsid w:val="00262A07"/>
    <w:rsid w:val="00264BF2"/>
    <w:rsid w:val="0026762F"/>
    <w:rsid w:val="00286D74"/>
    <w:rsid w:val="002A42AA"/>
    <w:rsid w:val="002C0225"/>
    <w:rsid w:val="002C09C8"/>
    <w:rsid w:val="002D10BF"/>
    <w:rsid w:val="002D19B4"/>
    <w:rsid w:val="002D47A2"/>
    <w:rsid w:val="002E4903"/>
    <w:rsid w:val="0030000A"/>
    <w:rsid w:val="003024E3"/>
    <w:rsid w:val="00303B66"/>
    <w:rsid w:val="0030438C"/>
    <w:rsid w:val="00316164"/>
    <w:rsid w:val="00321C74"/>
    <w:rsid w:val="00325E56"/>
    <w:rsid w:val="00337718"/>
    <w:rsid w:val="00354887"/>
    <w:rsid w:val="003700DF"/>
    <w:rsid w:val="003703CE"/>
    <w:rsid w:val="00375227"/>
    <w:rsid w:val="00377E3F"/>
    <w:rsid w:val="003866DE"/>
    <w:rsid w:val="00395477"/>
    <w:rsid w:val="003A1780"/>
    <w:rsid w:val="003A4950"/>
    <w:rsid w:val="003B206D"/>
    <w:rsid w:val="003B214C"/>
    <w:rsid w:val="003B3C2B"/>
    <w:rsid w:val="003D63BC"/>
    <w:rsid w:val="003E51CB"/>
    <w:rsid w:val="003E5A49"/>
    <w:rsid w:val="004028B5"/>
    <w:rsid w:val="004108D6"/>
    <w:rsid w:val="00422005"/>
    <w:rsid w:val="0043536B"/>
    <w:rsid w:val="00435E4C"/>
    <w:rsid w:val="0044145A"/>
    <w:rsid w:val="00443319"/>
    <w:rsid w:val="004550FB"/>
    <w:rsid w:val="0046731B"/>
    <w:rsid w:val="00471BA1"/>
    <w:rsid w:val="00474FE4"/>
    <w:rsid w:val="004A1242"/>
    <w:rsid w:val="004E056E"/>
    <w:rsid w:val="004F30BA"/>
    <w:rsid w:val="00504898"/>
    <w:rsid w:val="0051028A"/>
    <w:rsid w:val="00530429"/>
    <w:rsid w:val="005438F4"/>
    <w:rsid w:val="00552F64"/>
    <w:rsid w:val="0055432A"/>
    <w:rsid w:val="00564EA5"/>
    <w:rsid w:val="005663FA"/>
    <w:rsid w:val="00576D61"/>
    <w:rsid w:val="005A0DB4"/>
    <w:rsid w:val="005A1328"/>
    <w:rsid w:val="005A3504"/>
    <w:rsid w:val="005A54B1"/>
    <w:rsid w:val="005C0D49"/>
    <w:rsid w:val="005C4C42"/>
    <w:rsid w:val="005F031A"/>
    <w:rsid w:val="005F0C7D"/>
    <w:rsid w:val="005F364A"/>
    <w:rsid w:val="005F62BC"/>
    <w:rsid w:val="005F646E"/>
    <w:rsid w:val="00606E71"/>
    <w:rsid w:val="00612C4D"/>
    <w:rsid w:val="0062316E"/>
    <w:rsid w:val="006248DB"/>
    <w:rsid w:val="00630714"/>
    <w:rsid w:val="00632B17"/>
    <w:rsid w:val="00643BBD"/>
    <w:rsid w:val="00654265"/>
    <w:rsid w:val="00677499"/>
    <w:rsid w:val="00680145"/>
    <w:rsid w:val="0068648A"/>
    <w:rsid w:val="0069670B"/>
    <w:rsid w:val="006A4B61"/>
    <w:rsid w:val="006B25DF"/>
    <w:rsid w:val="006C0399"/>
    <w:rsid w:val="006C2FB9"/>
    <w:rsid w:val="006D48E3"/>
    <w:rsid w:val="006E0D4C"/>
    <w:rsid w:val="006E1DB2"/>
    <w:rsid w:val="006E1FD0"/>
    <w:rsid w:val="006E6CBB"/>
    <w:rsid w:val="006F139B"/>
    <w:rsid w:val="006F4EED"/>
    <w:rsid w:val="006F75D4"/>
    <w:rsid w:val="00705DAE"/>
    <w:rsid w:val="0070604A"/>
    <w:rsid w:val="00723BD0"/>
    <w:rsid w:val="0072510C"/>
    <w:rsid w:val="00726369"/>
    <w:rsid w:val="00733F93"/>
    <w:rsid w:val="007406B2"/>
    <w:rsid w:val="007407BA"/>
    <w:rsid w:val="007468B3"/>
    <w:rsid w:val="00754ECA"/>
    <w:rsid w:val="00761497"/>
    <w:rsid w:val="00767DC0"/>
    <w:rsid w:val="00780326"/>
    <w:rsid w:val="007942C2"/>
    <w:rsid w:val="007A5EAE"/>
    <w:rsid w:val="007A7646"/>
    <w:rsid w:val="007C349C"/>
    <w:rsid w:val="007D21F4"/>
    <w:rsid w:val="007D2C09"/>
    <w:rsid w:val="007E7553"/>
    <w:rsid w:val="007F3614"/>
    <w:rsid w:val="007F745D"/>
    <w:rsid w:val="008044C8"/>
    <w:rsid w:val="00814F76"/>
    <w:rsid w:val="0082004B"/>
    <w:rsid w:val="00833C9B"/>
    <w:rsid w:val="00836933"/>
    <w:rsid w:val="008536BD"/>
    <w:rsid w:val="00867DA1"/>
    <w:rsid w:val="00873C81"/>
    <w:rsid w:val="008817E1"/>
    <w:rsid w:val="008831EB"/>
    <w:rsid w:val="0089694D"/>
    <w:rsid w:val="00896F98"/>
    <w:rsid w:val="008A1015"/>
    <w:rsid w:val="008C6D88"/>
    <w:rsid w:val="008E68C9"/>
    <w:rsid w:val="008E6BA8"/>
    <w:rsid w:val="009005EE"/>
    <w:rsid w:val="00902F5B"/>
    <w:rsid w:val="00905928"/>
    <w:rsid w:val="0091057F"/>
    <w:rsid w:val="00940842"/>
    <w:rsid w:val="009412CB"/>
    <w:rsid w:val="0094295D"/>
    <w:rsid w:val="00967286"/>
    <w:rsid w:val="009703E7"/>
    <w:rsid w:val="00975C11"/>
    <w:rsid w:val="00983272"/>
    <w:rsid w:val="00983C0D"/>
    <w:rsid w:val="0098595B"/>
    <w:rsid w:val="0099708A"/>
    <w:rsid w:val="009A4BC3"/>
    <w:rsid w:val="009B743F"/>
    <w:rsid w:val="009D341F"/>
    <w:rsid w:val="009D3A88"/>
    <w:rsid w:val="009D3D17"/>
    <w:rsid w:val="009D6241"/>
    <w:rsid w:val="009E5197"/>
    <w:rsid w:val="009F09DD"/>
    <w:rsid w:val="009F3497"/>
    <w:rsid w:val="009F4871"/>
    <w:rsid w:val="009F78C3"/>
    <w:rsid w:val="00A1027B"/>
    <w:rsid w:val="00A348B8"/>
    <w:rsid w:val="00A434A9"/>
    <w:rsid w:val="00A52855"/>
    <w:rsid w:val="00A52BD6"/>
    <w:rsid w:val="00A62C3C"/>
    <w:rsid w:val="00A64C1E"/>
    <w:rsid w:val="00A70E23"/>
    <w:rsid w:val="00A76BAD"/>
    <w:rsid w:val="00A76BB3"/>
    <w:rsid w:val="00A86478"/>
    <w:rsid w:val="00A9155C"/>
    <w:rsid w:val="00A958C0"/>
    <w:rsid w:val="00AA1D00"/>
    <w:rsid w:val="00AA6F0C"/>
    <w:rsid w:val="00AB71D8"/>
    <w:rsid w:val="00AE009C"/>
    <w:rsid w:val="00B02015"/>
    <w:rsid w:val="00B05AE9"/>
    <w:rsid w:val="00B137D4"/>
    <w:rsid w:val="00B31A98"/>
    <w:rsid w:val="00B45917"/>
    <w:rsid w:val="00B55B52"/>
    <w:rsid w:val="00B57337"/>
    <w:rsid w:val="00B71B5E"/>
    <w:rsid w:val="00B77E77"/>
    <w:rsid w:val="00B878DB"/>
    <w:rsid w:val="00BB0909"/>
    <w:rsid w:val="00BB1D09"/>
    <w:rsid w:val="00BB3614"/>
    <w:rsid w:val="00BB53DF"/>
    <w:rsid w:val="00BD512F"/>
    <w:rsid w:val="00BE429E"/>
    <w:rsid w:val="00BF0259"/>
    <w:rsid w:val="00BF70E2"/>
    <w:rsid w:val="00C04A30"/>
    <w:rsid w:val="00C1227E"/>
    <w:rsid w:val="00C20A74"/>
    <w:rsid w:val="00C25C4B"/>
    <w:rsid w:val="00C30F2D"/>
    <w:rsid w:val="00C41329"/>
    <w:rsid w:val="00C43B44"/>
    <w:rsid w:val="00C510DF"/>
    <w:rsid w:val="00C61E72"/>
    <w:rsid w:val="00C6639A"/>
    <w:rsid w:val="00C75B03"/>
    <w:rsid w:val="00C82F1A"/>
    <w:rsid w:val="00C85497"/>
    <w:rsid w:val="00CD2FA6"/>
    <w:rsid w:val="00CD6233"/>
    <w:rsid w:val="00CE6B2A"/>
    <w:rsid w:val="00CF3281"/>
    <w:rsid w:val="00CF5107"/>
    <w:rsid w:val="00D12A4E"/>
    <w:rsid w:val="00D13992"/>
    <w:rsid w:val="00D20BED"/>
    <w:rsid w:val="00D32CF4"/>
    <w:rsid w:val="00D57AD8"/>
    <w:rsid w:val="00D57BA5"/>
    <w:rsid w:val="00D60C86"/>
    <w:rsid w:val="00D8591C"/>
    <w:rsid w:val="00DF1C2F"/>
    <w:rsid w:val="00E21F57"/>
    <w:rsid w:val="00E255D9"/>
    <w:rsid w:val="00E34EE6"/>
    <w:rsid w:val="00E365C1"/>
    <w:rsid w:val="00E37EAE"/>
    <w:rsid w:val="00E46604"/>
    <w:rsid w:val="00E86FA0"/>
    <w:rsid w:val="00EA60C8"/>
    <w:rsid w:val="00EB5692"/>
    <w:rsid w:val="00ED73AA"/>
    <w:rsid w:val="00EE39E3"/>
    <w:rsid w:val="00EF6660"/>
    <w:rsid w:val="00F01185"/>
    <w:rsid w:val="00F05B27"/>
    <w:rsid w:val="00F07C58"/>
    <w:rsid w:val="00F173DE"/>
    <w:rsid w:val="00F21308"/>
    <w:rsid w:val="00F24910"/>
    <w:rsid w:val="00F41B31"/>
    <w:rsid w:val="00F53FDC"/>
    <w:rsid w:val="00F67F9E"/>
    <w:rsid w:val="00F84E8A"/>
    <w:rsid w:val="00F854DA"/>
    <w:rsid w:val="00F935BE"/>
    <w:rsid w:val="00F97B6F"/>
    <w:rsid w:val="00FA0B90"/>
    <w:rsid w:val="00FA7558"/>
    <w:rsid w:val="00FB425B"/>
    <w:rsid w:val="00FB5E22"/>
    <w:rsid w:val="00FC016E"/>
    <w:rsid w:val="00FC6AF3"/>
    <w:rsid w:val="00FD3722"/>
    <w:rsid w:val="00FD3DCA"/>
    <w:rsid w:val="00FE0A6B"/>
    <w:rsid w:val="00FF70F7"/>
    <w:rsid w:val="05A28523"/>
    <w:rsid w:val="292C025E"/>
    <w:rsid w:val="3A86768C"/>
    <w:rsid w:val="66D7F8E3"/>
    <w:rsid w:val="7178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24D1A"/>
  <w15:docId w15:val="{4AB28A48-024A-4F9E-B297-F89C33FF7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67" w:lineRule="auto"/>
      <w:ind w:left="109" w:right="33" w:hanging="9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aliases w:val="GW Heading 1"/>
    <w:basedOn w:val="Normal"/>
    <w:next w:val="BodyText"/>
    <w:link w:val="Heading1Char"/>
    <w:uiPriority w:val="9"/>
    <w:qFormat/>
    <w:rsid w:val="006E1FD0"/>
    <w:pPr>
      <w:widowControl w:val="0"/>
      <w:autoSpaceDE w:val="0"/>
      <w:autoSpaceDN w:val="0"/>
      <w:spacing w:after="120" w:line="288" w:lineRule="auto"/>
      <w:ind w:left="0" w:right="0" w:firstLine="0"/>
      <w:outlineLvl w:val="0"/>
    </w:pPr>
    <w:rPr>
      <w:rFonts w:ascii="Arial" w:eastAsia="Arial" w:hAnsi="Arial" w:cs="Arial"/>
      <w:b/>
      <w:bCs/>
      <w:color w:val="2B3A44"/>
      <w:sz w:val="40"/>
      <w:szCs w:val="40"/>
    </w:rPr>
  </w:style>
  <w:style w:type="paragraph" w:styleId="Heading2">
    <w:name w:val="heading 2"/>
    <w:aliases w:val="GW Heading 2"/>
    <w:basedOn w:val="BodyText"/>
    <w:link w:val="Heading2Char"/>
    <w:uiPriority w:val="9"/>
    <w:unhideWhenUsed/>
    <w:qFormat/>
    <w:rsid w:val="00A52BD6"/>
    <w:pPr>
      <w:spacing w:after="0" w:line="240" w:lineRule="auto"/>
      <w:outlineLvl w:val="1"/>
    </w:pPr>
    <w:rPr>
      <w:b/>
      <w:bCs/>
      <w:color w:val="55206E"/>
      <w:sz w:val="28"/>
      <w:szCs w:val="28"/>
    </w:rPr>
  </w:style>
  <w:style w:type="paragraph" w:styleId="Heading3">
    <w:name w:val="heading 3"/>
    <w:aliases w:val="GW Heading 3"/>
    <w:basedOn w:val="Heading2"/>
    <w:next w:val="Normal"/>
    <w:link w:val="Heading3Char"/>
    <w:uiPriority w:val="9"/>
    <w:unhideWhenUsed/>
    <w:qFormat/>
    <w:rsid w:val="007A7646"/>
    <w:pPr>
      <w:outlineLvl w:val="2"/>
    </w:pPr>
    <w:rPr>
      <w:color w:val="00961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07C58"/>
    <w:rPr>
      <w:color w:val="1931E3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07C5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07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07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7C5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7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7C5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9F487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C7D"/>
    <w:rPr>
      <w:rFonts w:ascii="Segoe UI" w:eastAsia="Times New Roman" w:hAnsi="Segoe UI" w:cs="Segoe UI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unhideWhenUsed/>
    <w:rsid w:val="00A9155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0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399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C03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399"/>
    <w:rPr>
      <w:rFonts w:ascii="Times New Roman" w:eastAsia="Times New Roman" w:hAnsi="Times New Roman" w:cs="Times New Roman"/>
      <w:color w:val="000000"/>
    </w:rPr>
  </w:style>
  <w:style w:type="paragraph" w:styleId="BodyText">
    <w:name w:val="Body Text"/>
    <w:aliases w:val="GW Body Text"/>
    <w:basedOn w:val="Normal"/>
    <w:link w:val="BodyTextChar"/>
    <w:uiPriority w:val="1"/>
    <w:qFormat/>
    <w:rsid w:val="00061296"/>
    <w:pPr>
      <w:widowControl w:val="0"/>
      <w:autoSpaceDE w:val="0"/>
      <w:autoSpaceDN w:val="0"/>
      <w:spacing w:after="120" w:line="312" w:lineRule="auto"/>
      <w:ind w:left="0" w:right="0" w:firstLine="0"/>
    </w:pPr>
    <w:rPr>
      <w:rFonts w:ascii="Arial" w:eastAsia="Arial" w:hAnsi="Arial" w:cs="Arial"/>
      <w:color w:val="2B3A44"/>
    </w:rPr>
  </w:style>
  <w:style w:type="character" w:customStyle="1" w:styleId="BodyTextChar">
    <w:name w:val="Body Text Char"/>
    <w:aliases w:val="GW Body Text Char"/>
    <w:basedOn w:val="DefaultParagraphFont"/>
    <w:link w:val="BodyText"/>
    <w:uiPriority w:val="1"/>
    <w:rsid w:val="00061296"/>
    <w:rPr>
      <w:rFonts w:ascii="Arial" w:eastAsia="Arial" w:hAnsi="Arial" w:cs="Arial"/>
      <w:color w:val="2B3A44"/>
    </w:rPr>
  </w:style>
  <w:style w:type="paragraph" w:customStyle="1" w:styleId="GWBullets">
    <w:name w:val="GW Bullets"/>
    <w:basedOn w:val="ListParagraph"/>
    <w:qFormat/>
    <w:rsid w:val="009F3497"/>
    <w:pPr>
      <w:widowControl w:val="0"/>
      <w:numPr>
        <w:numId w:val="5"/>
      </w:numPr>
      <w:autoSpaceDE w:val="0"/>
      <w:autoSpaceDN w:val="0"/>
      <w:spacing w:after="60" w:line="288" w:lineRule="auto"/>
      <w:ind w:left="720" w:right="0"/>
      <w:contextualSpacing w:val="0"/>
    </w:pPr>
    <w:rPr>
      <w:rFonts w:ascii="Arial" w:eastAsia="Arial" w:hAnsi="Arial" w:cs="Arial"/>
      <w:color w:val="2B3A44"/>
    </w:rPr>
  </w:style>
  <w:style w:type="paragraph" w:customStyle="1" w:styleId="GWBullets2">
    <w:name w:val="GW Bullets 2"/>
    <w:basedOn w:val="GWBullets"/>
    <w:qFormat/>
    <w:rsid w:val="007A7646"/>
    <w:pPr>
      <w:numPr>
        <w:ilvl w:val="1"/>
      </w:numPr>
    </w:pPr>
  </w:style>
  <w:style w:type="paragraph" w:customStyle="1" w:styleId="GWCalloutText">
    <w:name w:val="GW Callout Text"/>
    <w:basedOn w:val="Normal"/>
    <w:qFormat/>
    <w:rsid w:val="007A7646"/>
    <w:pPr>
      <w:widowControl w:val="0"/>
      <w:autoSpaceDE w:val="0"/>
      <w:autoSpaceDN w:val="0"/>
      <w:spacing w:after="0" w:line="312" w:lineRule="auto"/>
      <w:ind w:left="0" w:right="0" w:firstLine="0"/>
    </w:pPr>
    <w:rPr>
      <w:rFonts w:ascii="Arial" w:eastAsia="Arial" w:hAnsi="Arial" w:cs="Arial"/>
      <w:b/>
      <w:bCs/>
      <w:color w:val="2B3A44"/>
    </w:rPr>
  </w:style>
  <w:style w:type="paragraph" w:customStyle="1" w:styleId="GWCaptions">
    <w:name w:val="GW Captions"/>
    <w:basedOn w:val="BodyText"/>
    <w:qFormat/>
    <w:rsid w:val="007A7646"/>
    <w:pPr>
      <w:ind w:right="1080"/>
    </w:pPr>
    <w:rPr>
      <w:sz w:val="16"/>
      <w:szCs w:val="16"/>
    </w:rPr>
  </w:style>
  <w:style w:type="paragraph" w:customStyle="1" w:styleId="GWSubhead1">
    <w:name w:val="GW Subhead 1"/>
    <w:basedOn w:val="BodyText"/>
    <w:qFormat/>
    <w:rsid w:val="007A7646"/>
    <w:pPr>
      <w:spacing w:after="360" w:line="240" w:lineRule="auto"/>
    </w:pPr>
    <w:rPr>
      <w:noProof/>
      <w:color w:val="FFFFFF" w:themeColor="background1"/>
      <w:sz w:val="28"/>
      <w:szCs w:val="28"/>
    </w:rPr>
  </w:style>
  <w:style w:type="paragraph" w:customStyle="1" w:styleId="GWSubheadDate">
    <w:name w:val="GW Subhead Date"/>
    <w:basedOn w:val="BodyText"/>
    <w:qFormat/>
    <w:rsid w:val="007A7646"/>
    <w:pPr>
      <w:spacing w:after="480"/>
    </w:pPr>
    <w:rPr>
      <w:noProof/>
      <w:color w:val="FFFFFF" w:themeColor="background1"/>
      <w:sz w:val="24"/>
      <w:szCs w:val="24"/>
    </w:rPr>
  </w:style>
  <w:style w:type="paragraph" w:customStyle="1" w:styleId="GWTableColumnHeader">
    <w:name w:val="GW Table Column Header"/>
    <w:uiPriority w:val="23"/>
    <w:qFormat/>
    <w:rsid w:val="0004031F"/>
    <w:pPr>
      <w:keepNext/>
      <w:keepLines/>
      <w:spacing w:before="120" w:after="120" w:line="240" w:lineRule="auto"/>
    </w:pPr>
    <w:rPr>
      <w:rFonts w:ascii="Arial" w:eastAsia="Calibri" w:hAnsi="Arial" w:cs="Arial"/>
      <w:color w:val="2B3A44"/>
      <w:szCs w:val="20"/>
      <w:lang w:eastAsia="ko-KR"/>
    </w:rPr>
  </w:style>
  <w:style w:type="paragraph" w:customStyle="1" w:styleId="GWTableText">
    <w:name w:val="GW Table Text"/>
    <w:qFormat/>
    <w:rsid w:val="007A7646"/>
    <w:pPr>
      <w:keepNext/>
      <w:keepLines/>
      <w:spacing w:before="120" w:after="120" w:line="264" w:lineRule="auto"/>
    </w:pPr>
    <w:rPr>
      <w:rFonts w:ascii="Arial" w:eastAsia="Arial" w:hAnsi="Arial" w:cs="Arial"/>
      <w:sz w:val="20"/>
      <w:lang w:eastAsia="ko-KR"/>
    </w:rPr>
  </w:style>
  <w:style w:type="paragraph" w:customStyle="1" w:styleId="GWTableTextBold">
    <w:name w:val="GW Table Text Bold"/>
    <w:basedOn w:val="Normal"/>
    <w:qFormat/>
    <w:rsid w:val="009A4BC3"/>
    <w:pPr>
      <w:spacing w:after="60" w:line="240" w:lineRule="auto"/>
      <w:ind w:left="360" w:right="0" w:firstLine="0"/>
    </w:pPr>
    <w:rPr>
      <w:rFonts w:ascii="Arial" w:eastAsia="Arial" w:hAnsi="Arial" w:cs="Arial"/>
      <w:b/>
      <w:color w:val="2B3A44"/>
      <w:lang w:eastAsia="ko-KR"/>
    </w:rPr>
  </w:style>
  <w:style w:type="paragraph" w:customStyle="1" w:styleId="GWTableTitle">
    <w:name w:val="GW Table Title"/>
    <w:next w:val="Normal"/>
    <w:uiPriority w:val="22"/>
    <w:qFormat/>
    <w:rsid w:val="007A7646"/>
    <w:pPr>
      <w:keepNext/>
      <w:keepLines/>
      <w:framePr w:hSpace="180" w:wrap="around" w:vAnchor="text" w:hAnchor="text" w:xAlign="center" w:y="-1"/>
      <w:spacing w:before="120" w:after="120" w:line="240" w:lineRule="auto"/>
    </w:pPr>
    <w:rPr>
      <w:rFonts w:ascii="Arial" w:eastAsia="Calibri" w:hAnsi="Arial" w:cs="Arial"/>
      <w:b/>
      <w:color w:val="55206E"/>
      <w:sz w:val="24"/>
      <w:szCs w:val="24"/>
    </w:rPr>
  </w:style>
  <w:style w:type="paragraph" w:customStyle="1" w:styleId="GWTableTitle2">
    <w:name w:val="GW Table Title 2"/>
    <w:next w:val="BodyText"/>
    <w:qFormat/>
    <w:rsid w:val="007A7646"/>
    <w:pPr>
      <w:widowControl w:val="0"/>
      <w:autoSpaceDE w:val="0"/>
      <w:autoSpaceDN w:val="0"/>
      <w:spacing w:after="120" w:line="240" w:lineRule="auto"/>
    </w:pPr>
    <w:rPr>
      <w:rFonts w:ascii="Arial" w:eastAsia="Arial" w:hAnsi="Arial" w:cs="Arial"/>
      <w:color w:val="55206E"/>
      <w:sz w:val="24"/>
      <w:szCs w:val="24"/>
    </w:rPr>
  </w:style>
  <w:style w:type="paragraph" w:customStyle="1" w:styleId="GWTOC">
    <w:name w:val="GW TOC"/>
    <w:qFormat/>
    <w:rsid w:val="007A7646"/>
    <w:pPr>
      <w:widowControl w:val="0"/>
      <w:tabs>
        <w:tab w:val="right" w:leader="dot" w:pos="5940"/>
        <w:tab w:val="left" w:leader="dot" w:pos="10800"/>
      </w:tabs>
      <w:autoSpaceDE w:val="0"/>
      <w:autoSpaceDN w:val="0"/>
      <w:spacing w:after="240" w:line="312" w:lineRule="auto"/>
      <w:ind w:left="1440" w:right="41" w:hanging="274"/>
      <w:mirrorIndents/>
    </w:pPr>
    <w:rPr>
      <w:rFonts w:ascii="Arial" w:eastAsia="Arial" w:hAnsi="Arial" w:cs="Arial"/>
      <w:color w:val="2B3A44"/>
    </w:rPr>
  </w:style>
  <w:style w:type="character" w:customStyle="1" w:styleId="Heading1Char">
    <w:name w:val="Heading 1 Char"/>
    <w:aliases w:val="GW Heading 1 Char"/>
    <w:basedOn w:val="DefaultParagraphFont"/>
    <w:link w:val="Heading1"/>
    <w:uiPriority w:val="9"/>
    <w:rsid w:val="006E1FD0"/>
    <w:rPr>
      <w:rFonts w:ascii="Arial" w:eastAsia="Arial" w:hAnsi="Arial" w:cs="Arial"/>
      <w:b/>
      <w:bCs/>
      <w:color w:val="2B3A44"/>
      <w:sz w:val="40"/>
      <w:szCs w:val="40"/>
    </w:rPr>
  </w:style>
  <w:style w:type="character" w:customStyle="1" w:styleId="Heading2Char">
    <w:name w:val="Heading 2 Char"/>
    <w:aliases w:val="GW Heading 2 Char"/>
    <w:basedOn w:val="DefaultParagraphFont"/>
    <w:link w:val="Heading2"/>
    <w:uiPriority w:val="9"/>
    <w:rsid w:val="00A52BD6"/>
    <w:rPr>
      <w:rFonts w:ascii="Arial" w:eastAsia="Arial" w:hAnsi="Arial" w:cs="Arial"/>
      <w:b/>
      <w:bCs/>
      <w:color w:val="55206E"/>
      <w:sz w:val="28"/>
      <w:szCs w:val="28"/>
    </w:rPr>
  </w:style>
  <w:style w:type="character" w:customStyle="1" w:styleId="Heading3Char">
    <w:name w:val="Heading 3 Char"/>
    <w:aliases w:val="GW Heading 3 Char"/>
    <w:basedOn w:val="DefaultParagraphFont"/>
    <w:link w:val="Heading3"/>
    <w:uiPriority w:val="9"/>
    <w:rsid w:val="007A7646"/>
    <w:rPr>
      <w:rFonts w:ascii="Arial" w:eastAsia="Arial" w:hAnsi="Arial" w:cs="Arial"/>
      <w:b/>
      <w:bCs/>
      <w:color w:val="00961D"/>
      <w:sz w:val="24"/>
      <w:szCs w:val="24"/>
    </w:rPr>
  </w:style>
  <w:style w:type="paragraph" w:styleId="Title">
    <w:name w:val="Title"/>
    <w:aliases w:val="GW Title"/>
    <w:next w:val="Normal"/>
    <w:link w:val="TitleChar"/>
    <w:uiPriority w:val="10"/>
    <w:qFormat/>
    <w:rsid w:val="007A7646"/>
    <w:pPr>
      <w:widowControl w:val="0"/>
      <w:autoSpaceDE w:val="0"/>
      <w:autoSpaceDN w:val="0"/>
      <w:spacing w:before="480" w:after="240" w:line="240" w:lineRule="auto"/>
      <w:ind w:left="1166"/>
    </w:pPr>
    <w:rPr>
      <w:rFonts w:ascii="Arial" w:eastAsia="Arial" w:hAnsi="Arial" w:cs="Arial"/>
      <w:b/>
      <w:bCs/>
      <w:noProof/>
      <w:color w:val="00EEAE"/>
      <w:sz w:val="52"/>
      <w:szCs w:val="52"/>
    </w:rPr>
  </w:style>
  <w:style w:type="character" w:customStyle="1" w:styleId="TitleChar">
    <w:name w:val="Title Char"/>
    <w:aliases w:val="GW Title Char"/>
    <w:basedOn w:val="DefaultParagraphFont"/>
    <w:link w:val="Title"/>
    <w:uiPriority w:val="10"/>
    <w:rsid w:val="007A7646"/>
    <w:rPr>
      <w:rFonts w:ascii="Arial" w:eastAsia="Arial" w:hAnsi="Arial" w:cs="Arial"/>
      <w:b/>
      <w:bCs/>
      <w:noProof/>
      <w:color w:val="00EEAE"/>
      <w:sz w:val="52"/>
      <w:szCs w:val="52"/>
    </w:rPr>
  </w:style>
  <w:style w:type="character" w:styleId="Mention">
    <w:name w:val="Mention"/>
    <w:basedOn w:val="DefaultParagraphFont"/>
    <w:uiPriority w:val="99"/>
    <w:unhideWhenUsed/>
    <w:rsid w:val="00ED73AA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EE39E3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table" w:customStyle="1" w:styleId="TableGrid1">
    <w:name w:val="Table Grid1"/>
    <w:rsid w:val="006F75D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5488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3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megan.fast@gainwelltechnologies.com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andy.kapur@gainwelltechnologies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GWTContracting@gainwelltechnologies.com" TargetMode="External"/><Relationship Id="rId5" Type="http://schemas.openxmlformats.org/officeDocument/2006/relationships/styles" Target="styles.xml"/><Relationship Id="rId15" Type="http://schemas.openxmlformats.org/officeDocument/2006/relationships/hyperlink" Target="https://stateofmissouri.wufoo.com/forms/dss-registration-for-public-testimony-advisory/" TargetMode="External"/><Relationship Id="rId10" Type="http://schemas.openxmlformats.org/officeDocument/2006/relationships/hyperlink" Target="https://mydss.mo.gov/mhd/pharmacy-committees" TargetMode="Externa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pbmclinicalservices@gainwelltechnologies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6E2D7335C3418A9CFA3747C34F7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69CF4-2D4F-4E08-A9AD-ED1A4DB890D7}"/>
      </w:docPartPr>
      <w:docPartBody>
        <w:p w:rsidR="00721759" w:rsidRDefault="001E11FD" w:rsidP="001E11FD">
          <w:pPr>
            <w:pStyle w:val="276E2D7335C3418A9CFA3747C34F70FB"/>
          </w:pPr>
          <w:r w:rsidRPr="00354887">
            <w:rPr>
              <w:rStyle w:val="PlaceholderText"/>
              <w:rFonts w:ascii="Arial" w:eastAsiaTheme="minorEastAsia" w:hAnsi="Arial" w:cs="Arial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1FD"/>
    <w:rsid w:val="000B5222"/>
    <w:rsid w:val="001E11FD"/>
    <w:rsid w:val="00286D74"/>
    <w:rsid w:val="00337718"/>
    <w:rsid w:val="00603E32"/>
    <w:rsid w:val="0070604A"/>
    <w:rsid w:val="00721759"/>
    <w:rsid w:val="008044C8"/>
    <w:rsid w:val="00A72673"/>
    <w:rsid w:val="00C41329"/>
    <w:rsid w:val="00F8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11FD"/>
    <w:rPr>
      <w:color w:val="666666"/>
    </w:rPr>
  </w:style>
  <w:style w:type="paragraph" w:customStyle="1" w:styleId="276E2D7335C3418A9CFA3747C34F70FB">
    <w:name w:val="276E2D7335C3418A9CFA3747C34F70FB"/>
    <w:rsid w:val="001E11FD"/>
    <w:pPr>
      <w:spacing w:after="5" w:line="267" w:lineRule="auto"/>
      <w:ind w:left="109" w:right="33" w:hanging="9"/>
    </w:pPr>
    <w:rPr>
      <w:rFonts w:ascii="Times New Roman" w:eastAsia="Times New Roman" w:hAnsi="Times New Roman" w:cs="Times New Roman"/>
      <w:color w:val="000000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GWT_Theme_1">
  <a:themeElements>
    <a:clrScheme name="GWT">
      <a:dk1>
        <a:srgbClr val="2B3A44"/>
      </a:dk1>
      <a:lt1>
        <a:sysClr val="window" lastClr="FFFFFF"/>
      </a:lt1>
      <a:dk2>
        <a:srgbClr val="44546A"/>
      </a:dk2>
      <a:lt2>
        <a:srgbClr val="E7E6E6"/>
      </a:lt2>
      <a:accent1>
        <a:srgbClr val="00EEAE"/>
      </a:accent1>
      <a:accent2>
        <a:srgbClr val="53206E"/>
      </a:accent2>
      <a:accent3>
        <a:srgbClr val="009681"/>
      </a:accent3>
      <a:accent4>
        <a:srgbClr val="1931E3"/>
      </a:accent4>
      <a:accent5>
        <a:srgbClr val="00A9E0"/>
      </a:accent5>
      <a:accent6>
        <a:srgbClr val="CB29F5"/>
      </a:accent6>
      <a:hlink>
        <a:srgbClr val="1931E3"/>
      </a:hlink>
      <a:folHlink>
        <a:srgbClr val="55206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_x0020_Type xmlns="34268a20-9951-44f5-aaf5-e28cb8a118ee">PDL Announcements</Record_x0020_Type>
    <AdCom_x0020_Date xmlns="34268a20-9951-44f5-aaf5-e28cb8a118e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9CA2A20722E744AE1DEE65D39BFE43" ma:contentTypeVersion="6" ma:contentTypeDescription="Create a new document." ma:contentTypeScope="" ma:versionID="c5c5668e672881622083d1421f9af362">
  <xsd:schema xmlns:xsd="http://www.w3.org/2001/XMLSchema" xmlns:xs="http://www.w3.org/2001/XMLSchema" xmlns:p="http://schemas.microsoft.com/office/2006/metadata/properties" xmlns:ns2="959d1e81-36b6-469d-b911-f3a3b5d67b01" xmlns:ns3="34268a20-9951-44f5-aaf5-e28cb8a118ee" targetNamespace="http://schemas.microsoft.com/office/2006/metadata/properties" ma:root="true" ma:fieldsID="f94f7673504b1ca426da98cbeba4a93c" ns2:_="" ns3:_="">
    <xsd:import namespace="959d1e81-36b6-469d-b911-f3a3b5d67b01"/>
    <xsd:import namespace="34268a20-9951-44f5-aaf5-e28cb8a118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Record_x0020_Type" minOccurs="0"/>
                <xsd:element ref="ns3:AdCom_x0020_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d1e81-36b6-469d-b911-f3a3b5d67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68a20-9951-44f5-aaf5-e28cb8a118ee" elementFormDefault="qualified">
    <xsd:import namespace="http://schemas.microsoft.com/office/2006/documentManagement/types"/>
    <xsd:import namespace="http://schemas.microsoft.com/office/infopath/2007/PartnerControls"/>
    <xsd:element name="Record_x0020_Type" ma:index="10" nillable="true" ma:displayName="Record Type" ma:format="Dropdown" ma:internalName="Record_x0020_Type">
      <xsd:simpleType>
        <xsd:restriction base="dms:Choice">
          <xsd:enumeration value="DSP Web Posting"/>
          <xsd:enumeration value="PDL Announcements"/>
          <xsd:enumeration value="PDL Recommendations"/>
          <xsd:enumeration value="PDL Edit Proposals"/>
          <xsd:enumeration value="Trifold"/>
        </xsd:restriction>
      </xsd:simpleType>
    </xsd:element>
    <xsd:element name="AdCom_x0020_Date" ma:index="11" nillable="true" ma:displayName="AdCom Date" ma:format="DateOnly" ma:internalName="AdCom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6D4615-2BCE-4CDB-96FD-E55167E532C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959d1e81-36b6-469d-b911-f3a3b5d67b01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34268a20-9951-44f5-aaf5-e28cb8a118e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4111EAB-3448-4900-A3AD-8D88937B8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d1e81-36b6-469d-b911-f3a3b5d67b01"/>
    <ds:schemaRef ds:uri="34268a20-9951-44f5-aaf5-e28cb8a11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82A63-F77B-4C85-8C39-20EBDD44A7A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01c35869-6495-4b3a-952e-bc5e37f13032}" enabled="1" method="Standard" siteId="{c663f89c-ef9b-418f-bd3d-41e46c0ce06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507</Words>
  <Characters>2894</Characters>
  <Application>Microsoft Office Word</Application>
  <DocSecurity>10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PDL Announcement_September-October 2022</vt:lpstr>
    </vt:vector>
  </TitlesOfParts>
  <Company/>
  <LinksUpToDate>false</LinksUpToDate>
  <CharactersWithSpaces>3395</CharactersWithSpaces>
  <SharedDoc>false</SharedDoc>
  <HLinks>
    <vt:vector size="18" baseType="variant">
      <vt:variant>
        <vt:i4>2883655</vt:i4>
      </vt:variant>
      <vt:variant>
        <vt:i4>9</vt:i4>
      </vt:variant>
      <vt:variant>
        <vt:i4>0</vt:i4>
      </vt:variant>
      <vt:variant>
        <vt:i4>5</vt:i4>
      </vt:variant>
      <vt:variant>
        <vt:lpwstr>mailto:sandy.kapur@gainwelltechnologies.com</vt:lpwstr>
      </vt:variant>
      <vt:variant>
        <vt:lpwstr/>
      </vt:variant>
      <vt:variant>
        <vt:i4>5111916</vt:i4>
      </vt:variant>
      <vt:variant>
        <vt:i4>6</vt:i4>
      </vt:variant>
      <vt:variant>
        <vt:i4>0</vt:i4>
      </vt:variant>
      <vt:variant>
        <vt:i4>5</vt:i4>
      </vt:variant>
      <vt:variant>
        <vt:lpwstr>mailto:GWTContracting@gainwelltechnologies.com</vt:lpwstr>
      </vt:variant>
      <vt:variant>
        <vt:lpwstr/>
      </vt:variant>
      <vt:variant>
        <vt:i4>2162757</vt:i4>
      </vt:variant>
      <vt:variant>
        <vt:i4>3</vt:i4>
      </vt:variant>
      <vt:variant>
        <vt:i4>0</vt:i4>
      </vt:variant>
      <vt:variant>
        <vt:i4>5</vt:i4>
      </vt:variant>
      <vt:variant>
        <vt:lpwstr>mailto:karen.powell@gainwelltechnologies.com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PDL Announcement_September-October 2022</dc:title>
  <dc:subject/>
  <dc:creator>mfast</dc:creator>
  <cp:keywords/>
  <cp:lastModifiedBy>Heriford, Katherine</cp:lastModifiedBy>
  <cp:revision>151</cp:revision>
  <dcterms:created xsi:type="dcterms:W3CDTF">2023-03-22T19:40:00Z</dcterms:created>
  <dcterms:modified xsi:type="dcterms:W3CDTF">2026-04-02T22:09:00Z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0x0101005E9CA2A20722E744AE1DEE65D39BFE43</vt:lpwstr>
  </property>
</Properties>
</file>