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239D10C" w:rsidR="004C5767" w:rsidRPr="008859E1" w:rsidRDefault="004C5767" w:rsidP="00D27533">
      <w:pPr>
        <w:pStyle w:val="tbody"/>
        <w:rPr>
          <w:b w:val="0"/>
          <w:bCs/>
        </w:rPr>
      </w:pPr>
      <w:r w:rsidRPr="00C02553">
        <w:t>Drug/Drug Class:</w:t>
      </w:r>
      <w:r w:rsidR="003B4820" w:rsidRPr="00573856">
        <w:rPr>
          <w:b w:val="0"/>
          <w:bCs/>
        </w:rPr>
        <w:t xml:space="preserve"> </w:t>
      </w:r>
      <w:r w:rsidR="00557C42" w:rsidRPr="00557C42">
        <w:rPr>
          <w:b w:val="0"/>
          <w:bCs/>
        </w:rPr>
        <w:t>Antiemetics, 5-HT3, NK1 and Other Select Non-Injectables PDL Edit</w:t>
      </w:r>
    </w:p>
    <w:p w14:paraId="7AD7FFCE" w14:textId="6841A044" w:rsidR="004C5767" w:rsidRPr="00C02553" w:rsidRDefault="004C5767" w:rsidP="00D27533">
      <w:pPr>
        <w:pStyle w:val="tbody"/>
      </w:pPr>
      <w:r w:rsidRPr="00C02553">
        <w:t>First Implementation Date:</w:t>
      </w:r>
      <w:r w:rsidRPr="00573856">
        <w:rPr>
          <w:b w:val="0"/>
          <w:bCs/>
        </w:rPr>
        <w:t xml:space="preserve"> </w:t>
      </w:r>
      <w:r w:rsidR="00CD5943" w:rsidRPr="00CD5943">
        <w:rPr>
          <w:b w:val="0"/>
          <w:bCs/>
        </w:rPr>
        <w:t>October 6, 2004</w:t>
      </w:r>
    </w:p>
    <w:p w14:paraId="4B7D760D" w14:textId="65A60CED" w:rsidR="004C5767" w:rsidRPr="00057F84" w:rsidRDefault="00C56A63"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EECF202"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E0942AD" w14:textId="42E1F6FF" w:rsidR="00FE30EA" w:rsidRDefault="00FE30EA" w:rsidP="00FE30EA">
      <w:pPr>
        <w:pStyle w:val="Header"/>
        <w:tabs>
          <w:tab w:val="left" w:pos="720"/>
        </w:tabs>
        <w:ind w:right="-86"/>
        <w:contextualSpacing/>
        <w:rPr>
          <w:rFonts w:cs="Arial"/>
          <w:sz w:val="20"/>
        </w:rPr>
      </w:pPr>
      <w:r>
        <w:rPr>
          <w:rFonts w:cs="Arial"/>
          <w:sz w:val="20"/>
        </w:rPr>
        <w:t xml:space="preserve">The 5-HT3 receptor antagonists are indicated for the prevention and treatment of nausea and vomiting associated with chemotherapy and radiotherapy.  </w:t>
      </w:r>
      <w:r w:rsidRPr="4838BE62">
        <w:rPr>
          <w:rFonts w:cs="Arial"/>
          <w:sz w:val="20"/>
        </w:rPr>
        <w:t>Diclegis</w:t>
      </w:r>
      <w:r w:rsidRPr="4838BE62">
        <w:rPr>
          <w:rFonts w:cs="Arial"/>
          <w:sz w:val="20"/>
          <w:vertAlign w:val="superscript"/>
        </w:rPr>
        <w:t>®</w:t>
      </w:r>
      <w:r w:rsidRPr="4838BE62">
        <w:rPr>
          <w:rFonts w:cs="Arial"/>
          <w:sz w:val="20"/>
        </w:rPr>
        <w:t xml:space="preserve"> (doxylamine/pyridoxine) is indicated for the treatment of nausea and vomiting of pregnancy in women who do not respond to conservative management.  Metoclopramide is indicated for diabetic gastroparesis and gastroesophageal reflux, as well as off-label use for treating nausea and vomiting associated with chemotherapy and radiation. </w:t>
      </w:r>
      <w:r>
        <w:rPr>
          <w:rFonts w:cs="Arial"/>
          <w:sz w:val="20"/>
        </w:rPr>
        <w:t xml:space="preserve"> Neurokinin-1 (NK1) receptor antagonists have indications that include prevention and treatment of nausea and vomiting associated with chemotherapy and radiotherapy and post-operative nausea and vomiting. The management of chemotherapy-induced nausea and vomiting is a critical aspect of treating cancer patients.  The advent of agents within this therapeutic class was a significant breakthrough for the practice of oncology.  However, because of the increased cost of these products, it is essential that therapy is appropriately </w:t>
      </w:r>
      <w:r w:rsidR="00EE2BB4">
        <w:rPr>
          <w:rFonts w:cs="Arial"/>
          <w:sz w:val="20"/>
        </w:rPr>
        <w:t>monitored and</w:t>
      </w:r>
      <w:r>
        <w:rPr>
          <w:rFonts w:cs="Arial"/>
          <w:sz w:val="20"/>
        </w:rPr>
        <w:t xml:space="preserve"> prudently utilized for the appropriate patient population.</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0C89C90" w14:textId="77777777" w:rsidR="00C12E93" w:rsidRPr="00D34F74" w:rsidRDefault="00C12E93" w:rsidP="00C12E93">
      <w:pPr>
        <w:pStyle w:val="ListParagraph"/>
      </w:pPr>
      <w:r w:rsidRPr="00D34F74">
        <w:t>Aprepitant Caps</w:t>
      </w:r>
    </w:p>
    <w:p w14:paraId="0B2B2638" w14:textId="77777777" w:rsidR="00C12E93" w:rsidRPr="00D34F74" w:rsidRDefault="00C12E93" w:rsidP="00C12E93">
      <w:pPr>
        <w:pStyle w:val="ListParagraph"/>
      </w:pPr>
      <w:r w:rsidRPr="00D34F74">
        <w:t xml:space="preserve">Metoclopramide </w:t>
      </w:r>
      <w:proofErr w:type="spellStart"/>
      <w:r w:rsidRPr="00D34F74">
        <w:t>Soln</w:t>
      </w:r>
      <w:proofErr w:type="spellEnd"/>
      <w:r w:rsidRPr="00D34F74">
        <w:t>/Tabs</w:t>
      </w:r>
    </w:p>
    <w:p w14:paraId="1165E706" w14:textId="77777777" w:rsidR="00C12E93" w:rsidRDefault="00C12E93" w:rsidP="00C12E93">
      <w:pPr>
        <w:pStyle w:val="ListParagraph"/>
      </w:pPr>
      <w:r w:rsidRPr="00D34F74">
        <w:t>Ondansetron</w:t>
      </w:r>
      <w:r>
        <w:t xml:space="preserve"> </w:t>
      </w:r>
      <w:r w:rsidRPr="00CC2F64">
        <w:t xml:space="preserve">4 mg, 8 mg </w:t>
      </w:r>
      <w:r w:rsidRPr="00D34F74">
        <w:t>ODT</w:t>
      </w:r>
    </w:p>
    <w:p w14:paraId="1B21829C" w14:textId="2357B239" w:rsidR="00846FA4" w:rsidRDefault="00C12E93" w:rsidP="00287BBC">
      <w:pPr>
        <w:pStyle w:val="ListParagraph"/>
      </w:pPr>
      <w:r w:rsidRPr="00D34F74">
        <w:t xml:space="preserve">Ondansetron </w:t>
      </w:r>
      <w:proofErr w:type="spellStart"/>
      <w:r w:rsidRPr="00D34F74">
        <w:t>Soln</w:t>
      </w:r>
      <w:proofErr w:type="spellEnd"/>
      <w:r w:rsidRPr="00D34F74">
        <w:t>/Tabs</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D988E99" w14:textId="77777777" w:rsidR="000A2C15" w:rsidRPr="00D34F74" w:rsidRDefault="000A2C15" w:rsidP="000A2C15">
      <w:pPr>
        <w:pStyle w:val="ListParagraph"/>
      </w:pPr>
      <w:proofErr w:type="spellStart"/>
      <w:r w:rsidRPr="00D34F74">
        <w:t>Akynzeo</w:t>
      </w:r>
      <w:proofErr w:type="spellEnd"/>
      <w:r w:rsidRPr="00D34F74">
        <w:rPr>
          <w:b/>
          <w:vertAlign w:val="superscript"/>
        </w:rPr>
        <w:t>®</w:t>
      </w:r>
      <w:r w:rsidRPr="00D34F74">
        <w:t xml:space="preserve"> Caps</w:t>
      </w:r>
    </w:p>
    <w:p w14:paraId="40A37459" w14:textId="77777777" w:rsidR="000A2C15" w:rsidRPr="00B74A72" w:rsidRDefault="000A2C15" w:rsidP="000A2C15">
      <w:pPr>
        <w:pStyle w:val="ListParagraph"/>
      </w:pPr>
      <w:proofErr w:type="spellStart"/>
      <w:r w:rsidRPr="00B74A72">
        <w:t>Anzemet</w:t>
      </w:r>
      <w:proofErr w:type="spellEnd"/>
      <w:r w:rsidRPr="00B74A72">
        <w:rPr>
          <w:vertAlign w:val="superscript"/>
        </w:rPr>
        <w:t>®</w:t>
      </w:r>
    </w:p>
    <w:p w14:paraId="59B36255" w14:textId="77777777" w:rsidR="000A2C15" w:rsidRPr="00D34F74" w:rsidRDefault="000A2C15" w:rsidP="000A2C15">
      <w:pPr>
        <w:pStyle w:val="ListParagraph"/>
      </w:pPr>
      <w:proofErr w:type="spellStart"/>
      <w:r w:rsidRPr="00D34F74">
        <w:t>Bonjesta</w:t>
      </w:r>
      <w:proofErr w:type="spellEnd"/>
      <w:r w:rsidRPr="00D34F74">
        <w:rPr>
          <w:vertAlign w:val="superscript"/>
        </w:rPr>
        <w:t>®</w:t>
      </w:r>
    </w:p>
    <w:p w14:paraId="51D03536" w14:textId="77777777" w:rsidR="000A2C15" w:rsidRPr="00D34F74" w:rsidRDefault="000A2C15" w:rsidP="000A2C15">
      <w:pPr>
        <w:pStyle w:val="ListParagraph"/>
      </w:pPr>
      <w:r w:rsidRPr="00D34F74">
        <w:t>Diclegis</w:t>
      </w:r>
      <w:r w:rsidRPr="00D34F74">
        <w:rPr>
          <w:vertAlign w:val="superscript"/>
        </w:rPr>
        <w:t>®</w:t>
      </w:r>
    </w:p>
    <w:p w14:paraId="3B964CC2" w14:textId="77777777" w:rsidR="000A2C15" w:rsidRPr="00D34F74" w:rsidRDefault="000A2C15" w:rsidP="000A2C15">
      <w:pPr>
        <w:pStyle w:val="ListParagraph"/>
      </w:pPr>
      <w:r w:rsidRPr="00D34F74">
        <w:t xml:space="preserve">Doxylamine/Pyridoxine </w:t>
      </w:r>
    </w:p>
    <w:p w14:paraId="100B76C9" w14:textId="77777777" w:rsidR="000A2C15" w:rsidRPr="00D34F74" w:rsidRDefault="000A2C15" w:rsidP="000A2C15">
      <w:pPr>
        <w:pStyle w:val="ListParagraph"/>
      </w:pPr>
      <w:r w:rsidRPr="00D34F74">
        <w:t>Emend</w:t>
      </w:r>
      <w:r w:rsidRPr="00D34F74">
        <w:rPr>
          <w:vertAlign w:val="superscript"/>
        </w:rPr>
        <w:t xml:space="preserve">® </w:t>
      </w:r>
      <w:r w:rsidRPr="00D34F74">
        <w:t>Caps/</w:t>
      </w:r>
      <w:proofErr w:type="spellStart"/>
      <w:r w:rsidRPr="00D34F74">
        <w:t>Pwd</w:t>
      </w:r>
      <w:proofErr w:type="spellEnd"/>
      <w:r w:rsidRPr="00D34F74">
        <w:t xml:space="preserve"> Packet</w:t>
      </w:r>
    </w:p>
    <w:p w14:paraId="22D8BB5D" w14:textId="77777777" w:rsidR="000A2C15" w:rsidRPr="00D34F74" w:rsidRDefault="000A2C15" w:rsidP="000A2C15">
      <w:pPr>
        <w:pStyle w:val="ListParagraph"/>
      </w:pPr>
      <w:proofErr w:type="spellStart"/>
      <w:r w:rsidRPr="00D34F74">
        <w:t>Gimoti</w:t>
      </w:r>
      <w:proofErr w:type="spellEnd"/>
      <w:r w:rsidRPr="00D34F74">
        <w:rPr>
          <w:vertAlign w:val="superscript"/>
        </w:rPr>
        <w:t>®</w:t>
      </w:r>
    </w:p>
    <w:p w14:paraId="6F98970E" w14:textId="77777777" w:rsidR="000A2C15" w:rsidRPr="00D34F74" w:rsidRDefault="000A2C15" w:rsidP="000A2C15">
      <w:pPr>
        <w:pStyle w:val="ListParagraph"/>
      </w:pPr>
      <w:proofErr w:type="spellStart"/>
      <w:r w:rsidRPr="00D34F74">
        <w:t>Granisetron</w:t>
      </w:r>
      <w:proofErr w:type="spellEnd"/>
      <w:r w:rsidRPr="00D34F74">
        <w:t xml:space="preserve"> Tabs</w:t>
      </w:r>
    </w:p>
    <w:p w14:paraId="4BE7DDBC" w14:textId="77777777" w:rsidR="000A2C15" w:rsidRDefault="000A2C15" w:rsidP="000A2C15">
      <w:pPr>
        <w:pStyle w:val="ListParagraph"/>
      </w:pPr>
      <w:r w:rsidRPr="00D34F74">
        <w:t xml:space="preserve">Metoclopramide ODT </w:t>
      </w:r>
    </w:p>
    <w:p w14:paraId="193253A2" w14:textId="77777777" w:rsidR="000A2C15" w:rsidRPr="00A408F7" w:rsidRDefault="000A2C15" w:rsidP="000A2C15">
      <w:pPr>
        <w:pStyle w:val="ListParagraph"/>
      </w:pPr>
      <w:r w:rsidRPr="00A408F7">
        <w:t>Ondansetron 16 mg ODT</w:t>
      </w:r>
    </w:p>
    <w:p w14:paraId="3ABF3BA1" w14:textId="77777777" w:rsidR="000A2C15" w:rsidRPr="00D34F74" w:rsidRDefault="000A2C15" w:rsidP="000A2C15">
      <w:pPr>
        <w:pStyle w:val="ListParagraph"/>
      </w:pPr>
      <w:r w:rsidRPr="00D34F74">
        <w:t>Reglan</w:t>
      </w:r>
      <w:r w:rsidRPr="00D34F74">
        <w:rPr>
          <w:vertAlign w:val="superscript"/>
        </w:rPr>
        <w:t>®</w:t>
      </w:r>
    </w:p>
    <w:p w14:paraId="555F57CB" w14:textId="77777777" w:rsidR="000A2C15" w:rsidRPr="00D34F74" w:rsidRDefault="000A2C15" w:rsidP="000A2C15">
      <w:pPr>
        <w:pStyle w:val="ListParagraph"/>
      </w:pPr>
      <w:proofErr w:type="spellStart"/>
      <w:r w:rsidRPr="00D34F74">
        <w:t>Sancuso</w:t>
      </w:r>
      <w:proofErr w:type="spellEnd"/>
      <w:r w:rsidRPr="00D34F74">
        <w:rPr>
          <w:vertAlign w:val="superscript"/>
        </w:rPr>
        <w:t>®</w:t>
      </w:r>
      <w:r w:rsidRPr="00D34F74">
        <w:t xml:space="preserve"> </w:t>
      </w:r>
    </w:p>
    <w:p w14:paraId="079F807A" w14:textId="24411F84" w:rsidR="00846FA4" w:rsidRPr="00696E3A" w:rsidRDefault="000A2C15" w:rsidP="000A2C15">
      <w:pPr>
        <w:pStyle w:val="ListParagraph"/>
      </w:pPr>
      <w:r w:rsidRPr="00D34F74">
        <w:t>Zofran</w:t>
      </w:r>
      <w:r w:rsidRPr="00D34F74">
        <w:rPr>
          <w:b/>
          <w:vertAlign w:val="superscript"/>
        </w:rPr>
        <w:t>®</w:t>
      </w:r>
      <w:r w:rsidRPr="00D34F74">
        <w:t xml:space="preserve"> Tabs</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48095EE" w:rsidR="0097028A" w:rsidRPr="0079438F" w:rsidRDefault="0097028A" w:rsidP="00696E3A">
      <w:pPr>
        <w:rPr>
          <w:b/>
        </w:rPr>
      </w:pPr>
      <w:r w:rsidRPr="00696E3A">
        <w:rPr>
          <w:b/>
          <w:bCs/>
        </w:rPr>
        <w:t>Drug class for review:</w:t>
      </w:r>
      <w:r w:rsidRPr="00C02553">
        <w:t xml:space="preserve"> </w:t>
      </w:r>
      <w:r w:rsidR="003111B5" w:rsidRPr="005F427A">
        <w:rPr>
          <w:rFonts w:cs="Arial"/>
          <w:szCs w:val="20"/>
        </w:rPr>
        <w:t>Antiemetic</w:t>
      </w:r>
      <w:r w:rsidR="003111B5">
        <w:rPr>
          <w:rFonts w:cs="Arial"/>
          <w:szCs w:val="20"/>
        </w:rPr>
        <w:t>s,</w:t>
      </w:r>
      <w:r w:rsidR="003111B5" w:rsidRPr="005F427A">
        <w:rPr>
          <w:rFonts w:cs="Arial"/>
          <w:szCs w:val="20"/>
        </w:rPr>
        <w:t xml:space="preserve"> 5-HT3</w:t>
      </w:r>
      <w:r w:rsidR="003111B5">
        <w:rPr>
          <w:rFonts w:cs="Arial"/>
          <w:szCs w:val="20"/>
        </w:rPr>
        <w:t xml:space="preserve">, NK1 and </w:t>
      </w:r>
      <w:r w:rsidR="003111B5" w:rsidRPr="005F427A">
        <w:rPr>
          <w:rFonts w:cs="Arial"/>
          <w:szCs w:val="20"/>
        </w:rPr>
        <w:t xml:space="preserve">Other </w:t>
      </w:r>
      <w:r w:rsidR="003111B5">
        <w:rPr>
          <w:rFonts w:cs="Arial"/>
          <w:szCs w:val="20"/>
        </w:rPr>
        <w:t>Select Non-Injectables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8FC0C68" w14:textId="77777777" w:rsidR="00706DBA" w:rsidRDefault="00706DBA" w:rsidP="00706DBA">
      <w:pPr>
        <w:pStyle w:val="ListBullet2"/>
        <w:numPr>
          <w:ilvl w:val="0"/>
          <w:numId w:val="18"/>
        </w:numPr>
        <w:rPr>
          <w:rFonts w:ascii="Arial" w:hAnsi="Arial" w:cs="Arial"/>
          <w:bCs/>
          <w:sz w:val="20"/>
          <w:szCs w:val="20"/>
        </w:rPr>
      </w:pPr>
      <w:bookmarkStart w:id="1" w:name="_Hlk20306510"/>
      <w:r w:rsidRPr="00C628F0">
        <w:rPr>
          <w:rFonts w:ascii="Arial" w:hAnsi="Arial" w:cs="Arial"/>
          <w:bCs/>
          <w:sz w:val="20"/>
          <w:szCs w:val="20"/>
        </w:rPr>
        <w:t>Must meet one of the following:</w:t>
      </w:r>
    </w:p>
    <w:p w14:paraId="0874BD2A" w14:textId="77777777" w:rsidR="00706DBA" w:rsidRPr="004035B2" w:rsidRDefault="00706DBA" w:rsidP="00706DBA">
      <w:pPr>
        <w:pStyle w:val="ListBullet2"/>
        <w:numPr>
          <w:ilvl w:val="1"/>
          <w:numId w:val="18"/>
        </w:numPr>
        <w:rPr>
          <w:rFonts w:ascii="Arial" w:hAnsi="Arial" w:cs="Arial"/>
          <w:bCs/>
          <w:sz w:val="20"/>
          <w:szCs w:val="20"/>
        </w:rPr>
      </w:pPr>
      <w:r w:rsidRPr="004035B2">
        <w:rPr>
          <w:rFonts w:ascii="Arial" w:hAnsi="Arial" w:cs="Arial"/>
          <w:bCs/>
          <w:sz w:val="20"/>
          <w:szCs w:val="20"/>
        </w:rPr>
        <w:t xml:space="preserve">Claim is for a preferred </w:t>
      </w:r>
      <w:proofErr w:type="gramStart"/>
      <w:r w:rsidRPr="004035B2">
        <w:rPr>
          <w:rFonts w:ascii="Arial" w:hAnsi="Arial" w:cs="Arial"/>
          <w:bCs/>
          <w:sz w:val="20"/>
          <w:szCs w:val="20"/>
        </w:rPr>
        <w:t>agent;</w:t>
      </w:r>
      <w:proofErr w:type="gramEnd"/>
      <w:r w:rsidRPr="004035B2">
        <w:rPr>
          <w:rFonts w:ascii="Arial" w:hAnsi="Arial" w:cs="Arial"/>
          <w:bCs/>
          <w:sz w:val="20"/>
          <w:szCs w:val="20"/>
        </w:rPr>
        <w:t xml:space="preserve"> </w:t>
      </w:r>
      <w:r w:rsidRPr="004035B2">
        <w:rPr>
          <w:rFonts w:ascii="Arial" w:hAnsi="Arial" w:cs="Arial"/>
          <w:b/>
          <w:sz w:val="20"/>
          <w:szCs w:val="20"/>
        </w:rPr>
        <w:t>OR</w:t>
      </w:r>
    </w:p>
    <w:p w14:paraId="01899D66" w14:textId="77777777" w:rsidR="00706DBA" w:rsidRPr="005F427A" w:rsidRDefault="00706DBA" w:rsidP="00706DBA">
      <w:pPr>
        <w:pStyle w:val="ListBullet2"/>
        <w:numPr>
          <w:ilvl w:val="1"/>
          <w:numId w:val="18"/>
        </w:numPr>
        <w:rPr>
          <w:rFonts w:ascii="Arial" w:hAnsi="Arial" w:cs="Arial"/>
          <w:sz w:val="20"/>
          <w:szCs w:val="20"/>
        </w:rPr>
      </w:pPr>
      <w:r w:rsidRPr="005F427A">
        <w:rPr>
          <w:rFonts w:ascii="Arial" w:hAnsi="Arial" w:cs="Arial"/>
          <w:sz w:val="20"/>
          <w:szCs w:val="20"/>
        </w:rPr>
        <w:t xml:space="preserve">Failure to achieve desired therapeutic outcomes with a </w:t>
      </w:r>
      <w:r w:rsidRPr="005F427A">
        <w:rPr>
          <w:rFonts w:ascii="Arial" w:hAnsi="Arial" w:cs="Arial"/>
          <w:noProof/>
          <w:sz w:val="20"/>
          <w:szCs w:val="20"/>
        </w:rPr>
        <w:t>trial</w:t>
      </w:r>
      <w:r w:rsidRPr="005F427A">
        <w:rPr>
          <w:rFonts w:ascii="Arial" w:hAnsi="Arial" w:cs="Arial"/>
          <w:sz w:val="20"/>
          <w:szCs w:val="20"/>
        </w:rPr>
        <w:t xml:space="preserve"> on 1 or more preferred agents</w:t>
      </w:r>
      <w:r>
        <w:rPr>
          <w:rFonts w:ascii="Arial" w:hAnsi="Arial" w:cs="Arial"/>
          <w:sz w:val="20"/>
          <w:szCs w:val="20"/>
        </w:rPr>
        <w:t>:</w:t>
      </w:r>
      <w:r w:rsidRPr="005F427A">
        <w:rPr>
          <w:rFonts w:ascii="Arial" w:hAnsi="Arial" w:cs="Arial"/>
          <w:sz w:val="20"/>
          <w:szCs w:val="20"/>
        </w:rPr>
        <w:t xml:space="preserve"> </w:t>
      </w:r>
    </w:p>
    <w:p w14:paraId="1767FAD2" w14:textId="77777777" w:rsidR="00706DBA" w:rsidRPr="005F427A" w:rsidRDefault="00706DBA" w:rsidP="00706DBA">
      <w:pPr>
        <w:pStyle w:val="ListBullet3"/>
        <w:numPr>
          <w:ilvl w:val="2"/>
          <w:numId w:val="16"/>
        </w:numPr>
        <w:rPr>
          <w:rFonts w:cs="Arial"/>
          <w:szCs w:val="20"/>
        </w:rPr>
      </w:pPr>
      <w:r w:rsidRPr="005F427A">
        <w:rPr>
          <w:rFonts w:cs="Arial"/>
          <w:noProof/>
          <w:szCs w:val="20"/>
        </w:rPr>
        <w:t>Documented</w:t>
      </w:r>
      <w:r w:rsidRPr="005F427A">
        <w:rPr>
          <w:rFonts w:cs="Arial"/>
          <w:szCs w:val="20"/>
        </w:rPr>
        <w:t xml:space="preserve"> trial period for preferred agents</w:t>
      </w:r>
      <w:r>
        <w:rPr>
          <w:rFonts w:cs="Arial"/>
          <w:szCs w:val="20"/>
        </w:rPr>
        <w:t xml:space="preserve">; </w:t>
      </w:r>
      <w:r w:rsidRPr="006D7D1A">
        <w:rPr>
          <w:rFonts w:cs="Arial"/>
          <w:b/>
          <w:szCs w:val="20"/>
        </w:rPr>
        <w:t>OR</w:t>
      </w:r>
    </w:p>
    <w:p w14:paraId="0B0DF694" w14:textId="77777777" w:rsidR="00706DBA" w:rsidRPr="00C628F0" w:rsidRDefault="00706DBA" w:rsidP="00706DBA">
      <w:pPr>
        <w:pStyle w:val="ListBullet3"/>
        <w:numPr>
          <w:ilvl w:val="2"/>
          <w:numId w:val="16"/>
        </w:numPr>
        <w:rPr>
          <w:rFonts w:cs="Arial"/>
          <w:szCs w:val="20"/>
        </w:rPr>
      </w:pPr>
      <w:r w:rsidRPr="005F427A">
        <w:rPr>
          <w:rFonts w:cs="Arial"/>
          <w:szCs w:val="20"/>
        </w:rPr>
        <w:t>Documented ADE/ADR to preferred agents</w:t>
      </w:r>
      <w:r>
        <w:rPr>
          <w:rFonts w:cs="Arial"/>
          <w:szCs w:val="20"/>
        </w:rPr>
        <w:t>.</w:t>
      </w:r>
    </w:p>
    <w:p w14:paraId="31B931CB" w14:textId="77777777" w:rsidR="00706DBA" w:rsidRDefault="00706DBA" w:rsidP="00706DBA">
      <w:pPr>
        <w:pStyle w:val="ListBullet3"/>
        <w:numPr>
          <w:ilvl w:val="0"/>
          <w:numId w:val="16"/>
        </w:numPr>
        <w:rPr>
          <w:rFonts w:cs="Arial"/>
          <w:szCs w:val="20"/>
        </w:rPr>
      </w:pPr>
      <w:r>
        <w:rPr>
          <w:rFonts w:cs="Arial"/>
        </w:rPr>
        <w:t>Additional approval criteria for</w:t>
      </w:r>
      <w:r w:rsidRPr="00C628F0">
        <w:rPr>
          <w:rFonts w:cs="Arial"/>
        </w:rPr>
        <w:t xml:space="preserve"> aprepitant capsules</w:t>
      </w:r>
      <w:r>
        <w:rPr>
          <w:rFonts w:cs="Arial"/>
        </w:rPr>
        <w:t>:</w:t>
      </w:r>
    </w:p>
    <w:p w14:paraId="28B80669" w14:textId="77777777" w:rsidR="00706DBA" w:rsidRPr="004035B2" w:rsidRDefault="00706DBA" w:rsidP="00706DBA">
      <w:pPr>
        <w:pStyle w:val="ListBullet3"/>
        <w:numPr>
          <w:ilvl w:val="1"/>
          <w:numId w:val="16"/>
        </w:numPr>
        <w:rPr>
          <w:rFonts w:cs="Arial"/>
          <w:szCs w:val="20"/>
        </w:rPr>
      </w:pPr>
      <w:r w:rsidRPr="004035B2">
        <w:rPr>
          <w:rFonts w:cs="Arial"/>
          <w:noProof/>
        </w:rPr>
        <w:t>Maximum</w:t>
      </w:r>
      <w:r w:rsidRPr="004035B2">
        <w:rPr>
          <w:rFonts w:cs="Arial"/>
        </w:rPr>
        <w:t xml:space="preserve"> </w:t>
      </w:r>
      <w:r w:rsidRPr="004035B2">
        <w:rPr>
          <w:rFonts w:cs="Arial"/>
          <w:noProof/>
        </w:rPr>
        <w:t>quantity of</w:t>
      </w:r>
      <w:r w:rsidRPr="004035B2">
        <w:rPr>
          <w:rFonts w:cs="Arial"/>
        </w:rPr>
        <w:t xml:space="preserve"> 3 doses per chemotherapy course</w:t>
      </w:r>
      <w:r>
        <w:rPr>
          <w:rFonts w:cs="Arial"/>
        </w:rPr>
        <w:t>.</w:t>
      </w:r>
    </w:p>
    <w:p w14:paraId="36DABB2E" w14:textId="77777777" w:rsidR="00706DBA" w:rsidRDefault="00706DBA" w:rsidP="00706DBA">
      <w:pPr>
        <w:pStyle w:val="ListBullet2"/>
        <w:numPr>
          <w:ilvl w:val="0"/>
          <w:numId w:val="17"/>
        </w:numPr>
        <w:rPr>
          <w:rFonts w:ascii="Arial" w:hAnsi="Arial" w:cs="Arial"/>
          <w:bCs/>
          <w:sz w:val="20"/>
          <w:szCs w:val="20"/>
        </w:rPr>
      </w:pPr>
      <w:r>
        <w:rPr>
          <w:rFonts w:ascii="Arial" w:hAnsi="Arial" w:cs="Arial"/>
          <w:bCs/>
          <w:sz w:val="20"/>
          <w:szCs w:val="20"/>
        </w:rPr>
        <w:t>Additional approval criteria f</w:t>
      </w:r>
      <w:r w:rsidRPr="0023692A">
        <w:rPr>
          <w:rFonts w:ascii="Arial" w:hAnsi="Arial" w:cs="Arial"/>
          <w:bCs/>
          <w:sz w:val="20"/>
          <w:szCs w:val="20"/>
        </w:rPr>
        <w:t xml:space="preserve">or Diclegis and </w:t>
      </w:r>
      <w:proofErr w:type="spellStart"/>
      <w:r w:rsidRPr="0023692A">
        <w:rPr>
          <w:rFonts w:ascii="Arial" w:hAnsi="Arial" w:cs="Arial"/>
          <w:bCs/>
          <w:sz w:val="20"/>
          <w:szCs w:val="20"/>
        </w:rPr>
        <w:t>Bonjesta</w:t>
      </w:r>
      <w:proofErr w:type="spellEnd"/>
      <w:r w:rsidRPr="0023692A">
        <w:rPr>
          <w:rFonts w:ascii="Arial" w:hAnsi="Arial" w:cs="Arial"/>
          <w:bCs/>
          <w:sz w:val="20"/>
          <w:szCs w:val="20"/>
        </w:rPr>
        <w:t>:</w:t>
      </w:r>
      <w:r>
        <w:rPr>
          <w:rFonts w:ascii="Arial" w:hAnsi="Arial" w:cs="Arial"/>
          <w:bCs/>
          <w:sz w:val="20"/>
          <w:szCs w:val="20"/>
        </w:rPr>
        <w:t xml:space="preserve"> </w:t>
      </w:r>
    </w:p>
    <w:p w14:paraId="004BAB6B" w14:textId="77777777" w:rsidR="00706DBA" w:rsidRDefault="00706DBA" w:rsidP="00706DBA">
      <w:pPr>
        <w:pStyle w:val="ListBullet2"/>
        <w:numPr>
          <w:ilvl w:val="1"/>
          <w:numId w:val="17"/>
        </w:numPr>
        <w:rPr>
          <w:rFonts w:ascii="Arial" w:hAnsi="Arial" w:cs="Arial"/>
          <w:bCs/>
          <w:sz w:val="20"/>
          <w:szCs w:val="20"/>
        </w:rPr>
      </w:pPr>
      <w:r>
        <w:rPr>
          <w:rFonts w:ascii="Arial" w:hAnsi="Arial" w:cs="Arial"/>
          <w:bCs/>
          <w:sz w:val="20"/>
          <w:szCs w:val="20"/>
        </w:rPr>
        <w:t>A</w:t>
      </w:r>
      <w:r w:rsidRPr="00B16230">
        <w:rPr>
          <w:rFonts w:ascii="Arial" w:hAnsi="Arial" w:cs="Arial"/>
          <w:bCs/>
          <w:sz w:val="20"/>
          <w:szCs w:val="20"/>
        </w:rPr>
        <w:t>dequate therapeutic trial of doxylamine (trial defined as 60/90 days)</w:t>
      </w:r>
      <w:r>
        <w:rPr>
          <w:rFonts w:ascii="Arial" w:hAnsi="Arial" w:cs="Arial"/>
          <w:bCs/>
          <w:sz w:val="20"/>
          <w:szCs w:val="20"/>
        </w:rPr>
        <w:t>.</w:t>
      </w:r>
    </w:p>
    <w:p w14:paraId="71FBDF9D" w14:textId="77777777" w:rsidR="00706DBA" w:rsidRPr="00706DBA" w:rsidRDefault="00706DBA" w:rsidP="00706DBA">
      <w:pPr>
        <w:pStyle w:val="ListBullet2"/>
        <w:numPr>
          <w:ilvl w:val="0"/>
          <w:numId w:val="17"/>
        </w:numPr>
        <w:rPr>
          <w:rFonts w:ascii="Arial" w:hAnsi="Arial" w:cs="Arial"/>
          <w:bCs/>
          <w:sz w:val="20"/>
          <w:szCs w:val="20"/>
        </w:rPr>
      </w:pPr>
      <w:r w:rsidRPr="00706DBA">
        <w:rPr>
          <w:rFonts w:ascii="Arial" w:hAnsi="Arial" w:cs="Arial"/>
          <w:bCs/>
          <w:sz w:val="20"/>
          <w:szCs w:val="20"/>
        </w:rPr>
        <w:t>Additional approval criteria for ondansetron 16 mg orally disintegrating tablet (ODT) – Reason of medical necessity as to why ondansetron 8 mg ODT cannot be utilized.</w:t>
      </w:r>
    </w:p>
    <w:bookmarkEnd w:id="1"/>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C8DFC5A" w14:textId="77777777" w:rsidR="009858E2" w:rsidRDefault="009858E2" w:rsidP="009858E2">
      <w:pPr>
        <w:pStyle w:val="ListBullet2"/>
        <w:numPr>
          <w:ilvl w:val="0"/>
          <w:numId w:val="19"/>
        </w:numPr>
        <w:rPr>
          <w:rFonts w:ascii="Arial" w:hAnsi="Arial" w:cs="Arial"/>
          <w:sz w:val="20"/>
          <w:szCs w:val="20"/>
        </w:rPr>
      </w:pPr>
      <w:r>
        <w:rPr>
          <w:rFonts w:ascii="Arial" w:hAnsi="Arial" w:cs="Arial"/>
          <w:sz w:val="20"/>
          <w:szCs w:val="20"/>
        </w:rPr>
        <w:t>Therapy will deny with presence of one of the following:</w:t>
      </w:r>
    </w:p>
    <w:p w14:paraId="0E16CAC9" w14:textId="77777777" w:rsidR="009858E2" w:rsidRPr="005F427A" w:rsidRDefault="009858E2" w:rsidP="009858E2">
      <w:pPr>
        <w:pStyle w:val="ListBullet2"/>
        <w:numPr>
          <w:ilvl w:val="1"/>
          <w:numId w:val="19"/>
        </w:numPr>
        <w:rPr>
          <w:rFonts w:ascii="Arial" w:hAnsi="Arial" w:cs="Arial"/>
          <w:sz w:val="20"/>
          <w:szCs w:val="20"/>
        </w:rPr>
      </w:pPr>
      <w:r>
        <w:rPr>
          <w:rFonts w:ascii="Arial" w:hAnsi="Arial" w:cs="Arial"/>
          <w:sz w:val="20"/>
          <w:szCs w:val="20"/>
        </w:rPr>
        <w:t>Any</w:t>
      </w:r>
      <w:r w:rsidRPr="005F427A">
        <w:rPr>
          <w:rFonts w:ascii="Arial" w:hAnsi="Arial" w:cs="Arial"/>
          <w:sz w:val="20"/>
          <w:szCs w:val="20"/>
        </w:rPr>
        <w:t xml:space="preserve"> approval criteria are</w:t>
      </w:r>
      <w:r>
        <w:rPr>
          <w:rFonts w:ascii="Arial" w:hAnsi="Arial" w:cs="Arial"/>
          <w:sz w:val="20"/>
          <w:szCs w:val="20"/>
        </w:rPr>
        <w:t xml:space="preserve"> not</w:t>
      </w:r>
      <w:r w:rsidRPr="005F427A">
        <w:rPr>
          <w:rFonts w:ascii="Arial" w:hAnsi="Arial" w:cs="Arial"/>
          <w:sz w:val="20"/>
          <w:szCs w:val="20"/>
        </w:rPr>
        <w:t xml:space="preserve"> </w:t>
      </w:r>
      <w:proofErr w:type="gramStart"/>
      <w:r w:rsidRPr="005F427A">
        <w:rPr>
          <w:rFonts w:ascii="Arial" w:hAnsi="Arial" w:cs="Arial"/>
          <w:sz w:val="20"/>
          <w:szCs w:val="20"/>
        </w:rPr>
        <w:t>met</w:t>
      </w:r>
      <w:r>
        <w:rPr>
          <w:rFonts w:ascii="Arial" w:hAnsi="Arial" w:cs="Arial"/>
          <w:sz w:val="20"/>
          <w:szCs w:val="20"/>
        </w:rPr>
        <w:t>;</w:t>
      </w:r>
      <w:proofErr w:type="gramEnd"/>
      <w:r>
        <w:rPr>
          <w:rFonts w:ascii="Arial" w:hAnsi="Arial" w:cs="Arial"/>
          <w:sz w:val="20"/>
          <w:szCs w:val="20"/>
        </w:rPr>
        <w:t xml:space="preserve"> </w:t>
      </w:r>
      <w:r w:rsidRPr="00FA3BD5">
        <w:rPr>
          <w:rFonts w:ascii="Arial" w:hAnsi="Arial" w:cs="Arial"/>
          <w:b/>
          <w:bCs/>
          <w:sz w:val="20"/>
          <w:szCs w:val="20"/>
        </w:rPr>
        <w:t>OR</w:t>
      </w:r>
    </w:p>
    <w:p w14:paraId="1B6E3C71" w14:textId="77777777" w:rsidR="009858E2" w:rsidRPr="00FC675C" w:rsidRDefault="009858E2" w:rsidP="009858E2">
      <w:pPr>
        <w:pStyle w:val="ListBullet2"/>
        <w:numPr>
          <w:ilvl w:val="1"/>
          <w:numId w:val="19"/>
        </w:numPr>
        <w:rPr>
          <w:rFonts w:ascii="Arial" w:hAnsi="Arial" w:cs="Arial"/>
          <w:sz w:val="20"/>
          <w:szCs w:val="20"/>
        </w:rPr>
      </w:pPr>
      <w:bookmarkStart w:id="2" w:name="_Hlk47084817"/>
      <w:r w:rsidRPr="00FC675C">
        <w:rPr>
          <w:rFonts w:ascii="Arial" w:hAnsi="Arial" w:cs="Arial"/>
          <w:sz w:val="20"/>
          <w:szCs w:val="20"/>
        </w:rPr>
        <w:t xml:space="preserve">Claim exceeds </w:t>
      </w:r>
      <w:r>
        <w:rPr>
          <w:rFonts w:ascii="Arial" w:hAnsi="Arial" w:cs="Arial"/>
          <w:sz w:val="20"/>
          <w:szCs w:val="20"/>
        </w:rPr>
        <w:t xml:space="preserve">maximum </w:t>
      </w:r>
      <w:r w:rsidRPr="00FC675C">
        <w:rPr>
          <w:rFonts w:ascii="Arial" w:hAnsi="Arial" w:cs="Arial"/>
          <w:sz w:val="20"/>
          <w:szCs w:val="20"/>
        </w:rPr>
        <w:t>dosing</w:t>
      </w:r>
      <w:r>
        <w:rPr>
          <w:rFonts w:ascii="Arial" w:hAnsi="Arial" w:cs="Arial"/>
          <w:sz w:val="20"/>
          <w:szCs w:val="20"/>
        </w:rPr>
        <w:t xml:space="preserve"> limitations for the following</w:t>
      </w:r>
      <w:r w:rsidRPr="00FC675C">
        <w:rPr>
          <w:rFonts w:ascii="Arial" w:hAnsi="Arial" w:cs="Arial"/>
          <w:sz w:val="20"/>
          <w:szCs w:val="20"/>
        </w:rPr>
        <w:t>:</w:t>
      </w:r>
    </w:p>
    <w:p w14:paraId="6F117019" w14:textId="77777777" w:rsidR="009858E2" w:rsidRPr="00E061C0" w:rsidRDefault="009858E2" w:rsidP="009858E2">
      <w:pPr>
        <w:rPr>
          <w:vanish/>
          <w:highlight w:val="yellow"/>
        </w:rPr>
      </w:pP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30"/>
        <w:gridCol w:w="3030"/>
      </w:tblGrid>
      <w:tr w:rsidR="009858E2" w:rsidRPr="00E061C0" w14:paraId="06DFF08E" w14:textId="77777777" w:rsidTr="00C070CE">
        <w:tc>
          <w:tcPr>
            <w:tcW w:w="3030" w:type="dxa"/>
            <w:shd w:val="clear" w:color="auto" w:fill="F4B083"/>
            <w:vAlign w:val="bottom"/>
          </w:tcPr>
          <w:p w14:paraId="0B066001" w14:textId="77777777" w:rsidR="009858E2" w:rsidRPr="00E061C0" w:rsidRDefault="009858E2" w:rsidP="00C4003D">
            <w:pPr>
              <w:rPr>
                <w:rFonts w:cs="Arial"/>
                <w:szCs w:val="20"/>
              </w:rPr>
            </w:pPr>
            <w:r w:rsidRPr="341ABA1F">
              <w:rPr>
                <w:rFonts w:cs="Arial"/>
                <w:b/>
                <w:bCs/>
                <w:szCs w:val="20"/>
              </w:rPr>
              <w:t>Drug Description</w:t>
            </w:r>
          </w:p>
        </w:tc>
        <w:tc>
          <w:tcPr>
            <w:tcW w:w="3030" w:type="dxa"/>
            <w:shd w:val="clear" w:color="auto" w:fill="F4B083"/>
            <w:vAlign w:val="bottom"/>
          </w:tcPr>
          <w:p w14:paraId="0E9DAFA7" w14:textId="77777777" w:rsidR="009858E2" w:rsidRPr="00E061C0" w:rsidRDefault="009858E2" w:rsidP="00C4003D">
            <w:pPr>
              <w:rPr>
                <w:rFonts w:cs="Arial"/>
                <w:szCs w:val="20"/>
              </w:rPr>
            </w:pPr>
            <w:r w:rsidRPr="341ABA1F">
              <w:rPr>
                <w:rFonts w:cs="Arial"/>
                <w:b/>
                <w:bCs/>
                <w:szCs w:val="20"/>
              </w:rPr>
              <w:t>Generic Equivalent</w:t>
            </w:r>
          </w:p>
        </w:tc>
        <w:tc>
          <w:tcPr>
            <w:tcW w:w="3030" w:type="dxa"/>
            <w:shd w:val="clear" w:color="auto" w:fill="F4B083"/>
          </w:tcPr>
          <w:p w14:paraId="5268505D" w14:textId="77777777" w:rsidR="009858E2" w:rsidRPr="00E061C0" w:rsidRDefault="009858E2" w:rsidP="00C4003D">
            <w:pPr>
              <w:rPr>
                <w:rFonts w:cs="Arial"/>
                <w:b/>
                <w:bCs/>
                <w:szCs w:val="20"/>
              </w:rPr>
            </w:pPr>
            <w:r w:rsidRPr="341ABA1F">
              <w:rPr>
                <w:rFonts w:cs="Arial"/>
                <w:b/>
                <w:bCs/>
                <w:szCs w:val="20"/>
              </w:rPr>
              <w:t xml:space="preserve">Max </w:t>
            </w:r>
            <w:r>
              <w:rPr>
                <w:rFonts w:cs="Arial"/>
                <w:b/>
                <w:bCs/>
                <w:szCs w:val="20"/>
              </w:rPr>
              <w:t>Dosing Limitations</w:t>
            </w:r>
          </w:p>
        </w:tc>
      </w:tr>
      <w:bookmarkEnd w:id="2"/>
      <w:tr w:rsidR="009858E2" w:rsidRPr="00E061C0" w14:paraId="3DE5C93C" w14:textId="77777777" w:rsidTr="00C4003D">
        <w:tc>
          <w:tcPr>
            <w:tcW w:w="3030" w:type="dxa"/>
            <w:vAlign w:val="center"/>
          </w:tcPr>
          <w:p w14:paraId="581C3939" w14:textId="77777777" w:rsidR="009858E2" w:rsidRPr="009A4CAC" w:rsidRDefault="009858E2" w:rsidP="00C4003D">
            <w:pPr>
              <w:rPr>
                <w:rFonts w:cs="Arial"/>
                <w:caps/>
                <w:szCs w:val="20"/>
              </w:rPr>
            </w:pPr>
            <w:r w:rsidRPr="009A4CAC">
              <w:rPr>
                <w:rFonts w:cs="Arial"/>
                <w:caps/>
                <w:szCs w:val="20"/>
              </w:rPr>
              <w:t>Anzemet 50 mg</w:t>
            </w:r>
          </w:p>
        </w:tc>
        <w:tc>
          <w:tcPr>
            <w:tcW w:w="3030" w:type="dxa"/>
            <w:vAlign w:val="center"/>
          </w:tcPr>
          <w:p w14:paraId="4DCC1E0B" w14:textId="77777777" w:rsidR="009858E2" w:rsidRPr="009A4CAC" w:rsidRDefault="009858E2" w:rsidP="00C4003D">
            <w:pPr>
              <w:rPr>
                <w:rFonts w:cs="Arial"/>
                <w:caps/>
                <w:szCs w:val="20"/>
              </w:rPr>
            </w:pPr>
            <w:r w:rsidRPr="009A4CAC">
              <w:rPr>
                <w:rFonts w:cs="Arial"/>
                <w:caps/>
                <w:szCs w:val="20"/>
              </w:rPr>
              <w:t>Dolasetron</w:t>
            </w:r>
          </w:p>
        </w:tc>
        <w:tc>
          <w:tcPr>
            <w:tcW w:w="3030" w:type="dxa"/>
            <w:vAlign w:val="center"/>
          </w:tcPr>
          <w:p w14:paraId="2AA959C6" w14:textId="77777777" w:rsidR="009858E2" w:rsidRPr="00E061C0" w:rsidRDefault="009858E2" w:rsidP="00C4003D">
            <w:pPr>
              <w:rPr>
                <w:rFonts w:cs="Arial"/>
                <w:szCs w:val="20"/>
              </w:rPr>
            </w:pPr>
            <w:r w:rsidRPr="00183642">
              <w:rPr>
                <w:rFonts w:cs="Arial"/>
                <w:szCs w:val="20"/>
              </w:rPr>
              <w:t xml:space="preserve">2 tablets </w:t>
            </w:r>
            <w:r w:rsidRPr="0053204A">
              <w:rPr>
                <w:rFonts w:cs="Arial"/>
                <w:szCs w:val="20"/>
              </w:rPr>
              <w:t>per day</w:t>
            </w:r>
          </w:p>
        </w:tc>
      </w:tr>
      <w:tr w:rsidR="009858E2" w:rsidRPr="00E061C0" w14:paraId="481C502F" w14:textId="77777777" w:rsidTr="00C4003D">
        <w:tc>
          <w:tcPr>
            <w:tcW w:w="3030" w:type="dxa"/>
            <w:vAlign w:val="center"/>
          </w:tcPr>
          <w:p w14:paraId="3365E780" w14:textId="77777777" w:rsidR="009858E2" w:rsidRPr="009A4CAC" w:rsidRDefault="009858E2" w:rsidP="00C4003D">
            <w:pPr>
              <w:rPr>
                <w:rFonts w:cs="Arial"/>
                <w:caps/>
                <w:szCs w:val="20"/>
              </w:rPr>
            </w:pPr>
            <w:r w:rsidRPr="009A4CAC">
              <w:rPr>
                <w:rFonts w:cs="Arial"/>
                <w:caps/>
                <w:szCs w:val="20"/>
              </w:rPr>
              <w:t>Granisetron 1 mg</w:t>
            </w:r>
          </w:p>
        </w:tc>
        <w:tc>
          <w:tcPr>
            <w:tcW w:w="3030" w:type="dxa"/>
            <w:vAlign w:val="center"/>
          </w:tcPr>
          <w:p w14:paraId="676EF822" w14:textId="77777777" w:rsidR="009858E2" w:rsidRPr="009A4CAC" w:rsidRDefault="009858E2" w:rsidP="00C4003D">
            <w:pPr>
              <w:rPr>
                <w:rFonts w:cs="Arial"/>
                <w:caps/>
                <w:szCs w:val="20"/>
              </w:rPr>
            </w:pPr>
            <w:r w:rsidRPr="009A4CAC">
              <w:rPr>
                <w:rFonts w:cs="Arial"/>
                <w:caps/>
                <w:szCs w:val="20"/>
              </w:rPr>
              <w:t>Granisetron</w:t>
            </w:r>
          </w:p>
        </w:tc>
        <w:tc>
          <w:tcPr>
            <w:tcW w:w="3030" w:type="dxa"/>
            <w:vAlign w:val="center"/>
          </w:tcPr>
          <w:p w14:paraId="27321A01" w14:textId="77777777" w:rsidR="009858E2" w:rsidRPr="00E061C0" w:rsidRDefault="009858E2" w:rsidP="00C4003D">
            <w:pPr>
              <w:rPr>
                <w:rFonts w:cs="Arial"/>
                <w:szCs w:val="20"/>
              </w:rPr>
            </w:pPr>
            <w:r w:rsidRPr="341ABA1F">
              <w:rPr>
                <w:rFonts w:cs="Arial"/>
                <w:szCs w:val="20"/>
              </w:rPr>
              <w:t>2 tablets</w:t>
            </w:r>
            <w:r w:rsidRPr="0053204A">
              <w:rPr>
                <w:rFonts w:cs="Arial"/>
                <w:szCs w:val="20"/>
              </w:rPr>
              <w:t xml:space="preserve"> per day</w:t>
            </w:r>
          </w:p>
        </w:tc>
      </w:tr>
      <w:tr w:rsidR="009858E2" w:rsidRPr="009858E2" w14:paraId="70C29120" w14:textId="77777777" w:rsidTr="00C4003D">
        <w:tc>
          <w:tcPr>
            <w:tcW w:w="3030" w:type="dxa"/>
            <w:vAlign w:val="center"/>
          </w:tcPr>
          <w:p w14:paraId="013D0148" w14:textId="77777777" w:rsidR="009858E2" w:rsidRPr="009858E2" w:rsidRDefault="009858E2" w:rsidP="00C4003D">
            <w:pPr>
              <w:rPr>
                <w:rFonts w:cs="Arial"/>
                <w:caps/>
                <w:szCs w:val="20"/>
              </w:rPr>
            </w:pPr>
            <w:r w:rsidRPr="009858E2">
              <w:rPr>
                <w:rFonts w:cs="Arial"/>
                <w:caps/>
                <w:szCs w:val="20"/>
              </w:rPr>
              <w:t>ONDANSETRON 16 MG ODT</w:t>
            </w:r>
          </w:p>
        </w:tc>
        <w:tc>
          <w:tcPr>
            <w:tcW w:w="3030" w:type="dxa"/>
            <w:vAlign w:val="center"/>
          </w:tcPr>
          <w:p w14:paraId="1C66D158" w14:textId="77777777" w:rsidR="009858E2" w:rsidRPr="009858E2" w:rsidRDefault="009858E2" w:rsidP="00C4003D">
            <w:pPr>
              <w:rPr>
                <w:rFonts w:cs="Arial"/>
                <w:caps/>
                <w:szCs w:val="20"/>
              </w:rPr>
            </w:pPr>
            <w:r w:rsidRPr="009858E2">
              <w:rPr>
                <w:rFonts w:cs="Arial"/>
                <w:caps/>
                <w:szCs w:val="20"/>
              </w:rPr>
              <w:t>ONDANSETRON</w:t>
            </w:r>
          </w:p>
        </w:tc>
        <w:tc>
          <w:tcPr>
            <w:tcW w:w="3030" w:type="dxa"/>
            <w:vAlign w:val="center"/>
          </w:tcPr>
          <w:p w14:paraId="2F79DA90" w14:textId="77777777" w:rsidR="009858E2" w:rsidRPr="009858E2" w:rsidRDefault="009858E2" w:rsidP="00C4003D">
            <w:pPr>
              <w:rPr>
                <w:rFonts w:cs="Arial"/>
                <w:szCs w:val="20"/>
              </w:rPr>
            </w:pPr>
            <w:r w:rsidRPr="009858E2">
              <w:rPr>
                <w:rFonts w:cs="Arial"/>
                <w:szCs w:val="20"/>
              </w:rPr>
              <w:t>1 tablet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45866D3E" w:rsidR="00343D6B" w:rsidRPr="00C02553" w:rsidRDefault="00343D6B" w:rsidP="00696E3A">
      <w:r w:rsidRPr="00696E3A">
        <w:rPr>
          <w:b/>
          <w:bCs/>
        </w:rPr>
        <w:t>Default Approval Period:</w:t>
      </w:r>
      <w:r w:rsidR="00973BD6">
        <w:t xml:space="preserve"> </w:t>
      </w:r>
      <w:r w:rsidR="002908B0">
        <w:t>6 months</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2B15408C" w14:textId="77777777" w:rsidR="00D27E12" w:rsidRPr="00D34F74" w:rsidRDefault="00D27E12" w:rsidP="00D27E12">
      <w:pPr>
        <w:pStyle w:val="ListParagraph"/>
      </w:pPr>
      <w:r w:rsidRPr="00D34F74">
        <w:t>Evidence-Based Medicine and Fiscal Analysis: “Antiemetic Agents – Therapeutic Class Review”, Conduent Business Services, L.L.C., Richmond, VA; November 2021.</w:t>
      </w:r>
    </w:p>
    <w:p w14:paraId="695A0556" w14:textId="77777777" w:rsidR="00D27E12" w:rsidRPr="006263A3" w:rsidRDefault="00D27E12" w:rsidP="00D27E12">
      <w:pPr>
        <w:pStyle w:val="ListParagraph"/>
      </w:pPr>
      <w:bookmarkStart w:id="4" w:name="_Hlk28960310"/>
      <w:r w:rsidRPr="006263A3">
        <w:t>Evidence-Based Medicine Analysis: “Antiemetics - 5-HT3, THC Derivatives, NK1 &amp; Other Agents”, UMKC-DIC; September 202</w:t>
      </w:r>
      <w:r>
        <w:t>4</w:t>
      </w:r>
      <w:r w:rsidRPr="006263A3">
        <w:t>.</w:t>
      </w:r>
    </w:p>
    <w:bookmarkEnd w:id="4"/>
    <w:p w14:paraId="3D8BA336" w14:textId="5CA3A774" w:rsidR="00D27E12" w:rsidRPr="00711D14" w:rsidRDefault="00D27E12" w:rsidP="00D27E12">
      <w:pPr>
        <w:pStyle w:val="ListParagraph"/>
      </w:pPr>
      <w:r w:rsidRPr="00711D14">
        <w:t>USPDI, Micromedex; 202</w:t>
      </w:r>
      <w:r>
        <w:t>5</w:t>
      </w:r>
      <w:r w:rsidRPr="00711D14">
        <w:t>.</w:t>
      </w:r>
    </w:p>
    <w:p w14:paraId="3FA1E7DB" w14:textId="4E31EDC6" w:rsidR="00777CA4" w:rsidRDefault="00D27E12" w:rsidP="00D27E12">
      <w:pPr>
        <w:pStyle w:val="ListParagraph"/>
      </w:pPr>
      <w:r w:rsidRPr="00711D14">
        <w:t xml:space="preserve">Facts and Comparisons </w:t>
      </w:r>
      <w:proofErr w:type="spellStart"/>
      <w:r w:rsidRPr="00711D14">
        <w:t>eAnswers</w:t>
      </w:r>
      <w:proofErr w:type="spellEnd"/>
      <w:r w:rsidRPr="00711D14">
        <w:t xml:space="preserve"> (online); 202</w:t>
      </w:r>
      <w:r>
        <w:t>5</w:t>
      </w:r>
      <w:r w:rsidRPr="00711D14">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3880" w14:textId="77777777" w:rsidR="00FB3BF3" w:rsidRPr="00C02553" w:rsidRDefault="00FB3BF3" w:rsidP="00AE77DB">
      <w:r w:rsidRPr="00C02553">
        <w:separator/>
      </w:r>
    </w:p>
  </w:endnote>
  <w:endnote w:type="continuationSeparator" w:id="0">
    <w:p w14:paraId="4A248DB3" w14:textId="77777777" w:rsidR="00FB3BF3" w:rsidRPr="00C02553" w:rsidRDefault="00FB3BF3" w:rsidP="00AE77DB">
      <w:r w:rsidRPr="00C02553">
        <w:continuationSeparator/>
      </w:r>
    </w:p>
  </w:endnote>
  <w:endnote w:type="continuationNotice" w:id="1">
    <w:p w14:paraId="4041DA76" w14:textId="77777777" w:rsidR="00FB3BF3" w:rsidRPr="00C02553" w:rsidRDefault="00FB3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4D698" w14:textId="77777777" w:rsidR="00FB3BF3" w:rsidRPr="00C02553" w:rsidRDefault="00FB3BF3" w:rsidP="00AE77DB">
      <w:r w:rsidRPr="00C02553">
        <w:separator/>
      </w:r>
    </w:p>
  </w:footnote>
  <w:footnote w:type="continuationSeparator" w:id="0">
    <w:p w14:paraId="26517E3A" w14:textId="77777777" w:rsidR="00FB3BF3" w:rsidRPr="00C02553" w:rsidRDefault="00FB3BF3" w:rsidP="00AE77DB">
      <w:r w:rsidRPr="00C02553">
        <w:continuationSeparator/>
      </w:r>
    </w:p>
  </w:footnote>
  <w:footnote w:type="continuationNotice" w:id="1">
    <w:p w14:paraId="63DD4AB5" w14:textId="77777777" w:rsidR="00FB3BF3" w:rsidRPr="00C02553" w:rsidRDefault="00FB3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9299A4E"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C11601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7AD9493"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8E4240"/>
    <w:multiLevelType w:val="hybridMultilevel"/>
    <w:tmpl w:val="B0ECD36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AD4D24"/>
    <w:multiLevelType w:val="hybridMultilevel"/>
    <w:tmpl w:val="4BB85CA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415EE"/>
    <w:multiLevelType w:val="hybridMultilevel"/>
    <w:tmpl w:val="6320272C"/>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color w:val="auto"/>
      </w:rPr>
    </w:lvl>
    <w:lvl w:ilvl="2" w:tplc="04090001">
      <w:start w:val="1"/>
      <w:numFmt w:val="bullet"/>
      <w:lvlText w:val=""/>
      <w:lvlJc w:val="left"/>
      <w:pPr>
        <w:tabs>
          <w:tab w:val="num" w:pos="1440"/>
        </w:tabs>
        <w:ind w:left="1440" w:hanging="360"/>
      </w:pPr>
      <w:rPr>
        <w:rFonts w:ascii="Symbol" w:hAnsi="Symbol" w:hint="default"/>
        <w:color w:val="auto"/>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E2D0F"/>
    <w:multiLevelType w:val="hybridMultilevel"/>
    <w:tmpl w:val="D4848992"/>
    <w:lvl w:ilvl="0" w:tplc="3282033A">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220EE6"/>
    <w:multiLevelType w:val="hybridMultilevel"/>
    <w:tmpl w:val="A6BE7630"/>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B400B57"/>
    <w:multiLevelType w:val="hybridMultilevel"/>
    <w:tmpl w:val="77902B1C"/>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9"/>
  </w:num>
  <w:num w:numId="9" w16cid:durableId="1085147965">
    <w:abstractNumId w:val="13"/>
  </w:num>
  <w:num w:numId="10" w16cid:durableId="917518096">
    <w:abstractNumId w:val="11"/>
  </w:num>
  <w:num w:numId="11" w16cid:durableId="1894998475">
    <w:abstractNumId w:val="1"/>
  </w:num>
  <w:num w:numId="12" w16cid:durableId="1418215296">
    <w:abstractNumId w:val="16"/>
  </w:num>
  <w:num w:numId="13" w16cid:durableId="604729665">
    <w:abstractNumId w:val="8"/>
  </w:num>
  <w:num w:numId="14" w16cid:durableId="1805081292">
    <w:abstractNumId w:val="14"/>
  </w:num>
  <w:num w:numId="15" w16cid:durableId="565385925">
    <w:abstractNumId w:val="12"/>
  </w:num>
  <w:num w:numId="16" w16cid:durableId="692534705">
    <w:abstractNumId w:val="6"/>
  </w:num>
  <w:num w:numId="17" w16cid:durableId="1447193153">
    <w:abstractNumId w:val="7"/>
  </w:num>
  <w:num w:numId="18" w16cid:durableId="1797287650">
    <w:abstractNumId w:val="19"/>
  </w:num>
  <w:num w:numId="19" w16cid:durableId="1812601389">
    <w:abstractNumId w:val="17"/>
  </w:num>
  <w:num w:numId="20" w16cid:durableId="209408442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vIS4f59D4Q8WOB0gbwiJT5hqtafkrTcJ6aZPzZ3Ac6W+GUNc5tz4/wHtQQpUHqyIYW3I1UAErYso7M2s3brDQ==" w:salt="JzhPdyZv7qKWWUW7VhJcZ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2C15"/>
    <w:rsid w:val="000A413B"/>
    <w:rsid w:val="000A4931"/>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94146"/>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8B0"/>
    <w:rsid w:val="00290A03"/>
    <w:rsid w:val="0029159A"/>
    <w:rsid w:val="00291600"/>
    <w:rsid w:val="002A02F4"/>
    <w:rsid w:val="002B7C86"/>
    <w:rsid w:val="002C2C41"/>
    <w:rsid w:val="002C62E7"/>
    <w:rsid w:val="002E05E2"/>
    <w:rsid w:val="002E2DD6"/>
    <w:rsid w:val="002E3F28"/>
    <w:rsid w:val="002F0E52"/>
    <w:rsid w:val="002F2274"/>
    <w:rsid w:val="002F2405"/>
    <w:rsid w:val="002F4818"/>
    <w:rsid w:val="002F690F"/>
    <w:rsid w:val="0030301F"/>
    <w:rsid w:val="00303B21"/>
    <w:rsid w:val="003111B5"/>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A099C"/>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57C42"/>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353"/>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77C6E"/>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06DBA"/>
    <w:rsid w:val="00713052"/>
    <w:rsid w:val="00715D88"/>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B6E08"/>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C2C1C"/>
    <w:rsid w:val="008D0F2F"/>
    <w:rsid w:val="008D237F"/>
    <w:rsid w:val="008D3FD8"/>
    <w:rsid w:val="008D6B05"/>
    <w:rsid w:val="008E7D2D"/>
    <w:rsid w:val="008F44C0"/>
    <w:rsid w:val="008F5999"/>
    <w:rsid w:val="00903AD6"/>
    <w:rsid w:val="00904D7A"/>
    <w:rsid w:val="00911E9E"/>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8E2"/>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0068"/>
    <w:rsid w:val="00A87721"/>
    <w:rsid w:val="00AA1C31"/>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2F8"/>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070CE"/>
    <w:rsid w:val="00C1018C"/>
    <w:rsid w:val="00C1150E"/>
    <w:rsid w:val="00C12E93"/>
    <w:rsid w:val="00C14D52"/>
    <w:rsid w:val="00C2586C"/>
    <w:rsid w:val="00C26001"/>
    <w:rsid w:val="00C34E72"/>
    <w:rsid w:val="00C56A63"/>
    <w:rsid w:val="00C56B1F"/>
    <w:rsid w:val="00C61B52"/>
    <w:rsid w:val="00C62745"/>
    <w:rsid w:val="00C654CA"/>
    <w:rsid w:val="00C722C9"/>
    <w:rsid w:val="00C763BD"/>
    <w:rsid w:val="00C779A8"/>
    <w:rsid w:val="00C829DF"/>
    <w:rsid w:val="00C82E19"/>
    <w:rsid w:val="00C96873"/>
    <w:rsid w:val="00CA1735"/>
    <w:rsid w:val="00CA3C4B"/>
    <w:rsid w:val="00CA7252"/>
    <w:rsid w:val="00CB2C5A"/>
    <w:rsid w:val="00CC2F64"/>
    <w:rsid w:val="00CD5943"/>
    <w:rsid w:val="00CE0C1C"/>
    <w:rsid w:val="00CE34AF"/>
    <w:rsid w:val="00CF00A4"/>
    <w:rsid w:val="00CF25FB"/>
    <w:rsid w:val="00CF614C"/>
    <w:rsid w:val="00D02F34"/>
    <w:rsid w:val="00D13D87"/>
    <w:rsid w:val="00D16590"/>
    <w:rsid w:val="00D20720"/>
    <w:rsid w:val="00D250D9"/>
    <w:rsid w:val="00D27533"/>
    <w:rsid w:val="00D27E12"/>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2BB4"/>
    <w:rsid w:val="00EE3EA5"/>
    <w:rsid w:val="00EE613F"/>
    <w:rsid w:val="00EE6BD1"/>
    <w:rsid w:val="00EF0262"/>
    <w:rsid w:val="00EF0828"/>
    <w:rsid w:val="00EF6F8B"/>
    <w:rsid w:val="00F03898"/>
    <w:rsid w:val="00F1527A"/>
    <w:rsid w:val="00F2696B"/>
    <w:rsid w:val="00F27821"/>
    <w:rsid w:val="00F4092A"/>
    <w:rsid w:val="00F41F69"/>
    <w:rsid w:val="00F43747"/>
    <w:rsid w:val="00F43E41"/>
    <w:rsid w:val="00F4790C"/>
    <w:rsid w:val="00F50C4B"/>
    <w:rsid w:val="00F54077"/>
    <w:rsid w:val="00F54C08"/>
    <w:rsid w:val="00F553A2"/>
    <w:rsid w:val="00F6068C"/>
    <w:rsid w:val="00F62F33"/>
    <w:rsid w:val="00F63A52"/>
    <w:rsid w:val="00F730BA"/>
    <w:rsid w:val="00F903BE"/>
    <w:rsid w:val="00F95D04"/>
    <w:rsid w:val="00FA16EC"/>
    <w:rsid w:val="00FA2811"/>
    <w:rsid w:val="00FA4837"/>
    <w:rsid w:val="00FA5738"/>
    <w:rsid w:val="00FB1D33"/>
    <w:rsid w:val="00FB3BF3"/>
    <w:rsid w:val="00FB5E96"/>
    <w:rsid w:val="00FC05A0"/>
    <w:rsid w:val="00FC6758"/>
    <w:rsid w:val="00FD34EA"/>
    <w:rsid w:val="00FE30EA"/>
    <w:rsid w:val="00FE3F3E"/>
    <w:rsid w:val="00FE4D52"/>
    <w:rsid w:val="00FE5AEE"/>
    <w:rsid w:val="00FE709E"/>
    <w:rsid w:val="00FF106B"/>
    <w:rsid w:val="00FF1E8A"/>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AA1C31"/>
    <w:rPr>
      <w:sz w:val="16"/>
      <w:szCs w:val="16"/>
    </w:rPr>
  </w:style>
  <w:style w:type="paragraph" w:styleId="CommentSubject">
    <w:name w:val="annotation subject"/>
    <w:basedOn w:val="CommentText"/>
    <w:next w:val="CommentText"/>
    <w:link w:val="CommentSubjectChar"/>
    <w:uiPriority w:val="99"/>
    <w:semiHidden/>
    <w:unhideWhenUsed/>
    <w:rsid w:val="00AA1C31"/>
    <w:rPr>
      <w:b/>
      <w:bCs/>
    </w:rPr>
  </w:style>
  <w:style w:type="character" w:customStyle="1" w:styleId="CommentTextChar">
    <w:name w:val="Comment Text Char"/>
    <w:basedOn w:val="DefaultParagraphFont"/>
    <w:link w:val="CommentText"/>
    <w:semiHidden/>
    <w:rsid w:val="00AA1C31"/>
    <w:rPr>
      <w:rFonts w:ascii="Arial" w:hAnsi="Arial"/>
    </w:rPr>
  </w:style>
  <w:style w:type="character" w:customStyle="1" w:styleId="CommentSubjectChar">
    <w:name w:val="Comment Subject Char"/>
    <w:basedOn w:val="CommentTextChar"/>
    <w:link w:val="CommentSubject"/>
    <w:uiPriority w:val="99"/>
    <w:semiHidden/>
    <w:rsid w:val="00AA1C3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8F8C3A01-B581-40F7-B376-F1B5A2ABA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3127</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Antiemetics, 5-HT3, NK1 and Other Select Non-Injectables PDL Edit</vt:lpstr>
    </vt:vector>
  </TitlesOfParts>
  <Company>DSS</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Antiemetics, 5-HT3, NK1 and Other Select Non-Injectables PDL Edit</dc:title>
  <dc:creator>DMS</dc:creator>
  <cp:lastModifiedBy>Heriford, Katherine</cp:lastModifiedBy>
  <cp:revision>2</cp:revision>
  <cp:lastPrinted>2018-10-31T20:17:00Z</cp:lastPrinted>
  <dcterms:created xsi:type="dcterms:W3CDTF">2026-04-01T19:04:00Z</dcterms:created>
  <dcterms:modified xsi:type="dcterms:W3CDTF">2026-04-01T19:04:00Z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