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37BA00B1" w:rsidR="004C5767" w:rsidRPr="008859E1" w:rsidRDefault="004C5767" w:rsidP="00D27533">
      <w:pPr>
        <w:pStyle w:val="tbody"/>
        <w:rPr>
          <w:b w:val="0"/>
          <w:bCs/>
        </w:rPr>
      </w:pPr>
      <w:r w:rsidRPr="00C02553">
        <w:t>Drug/Drug Class:</w:t>
      </w:r>
      <w:r w:rsidR="003B4820" w:rsidRPr="00573856">
        <w:rPr>
          <w:b w:val="0"/>
          <w:bCs/>
        </w:rPr>
        <w:t xml:space="preserve"> </w:t>
      </w:r>
      <w:r w:rsidR="004B501D" w:rsidRPr="004B501D">
        <w:rPr>
          <w:b w:val="0"/>
          <w:bCs/>
        </w:rPr>
        <w:t>Multiple Sclerosis Agents, Injectable PDL Edit</w:t>
      </w:r>
    </w:p>
    <w:p w14:paraId="7AD7FFCE" w14:textId="21E393F2" w:rsidR="004C5767" w:rsidRPr="00C02553" w:rsidRDefault="004C5767" w:rsidP="00D27533">
      <w:pPr>
        <w:pStyle w:val="tbody"/>
      </w:pPr>
      <w:r w:rsidRPr="00C02553">
        <w:t>First Implementation Date:</w:t>
      </w:r>
      <w:r w:rsidRPr="00573856">
        <w:rPr>
          <w:b w:val="0"/>
          <w:bCs/>
        </w:rPr>
        <w:t xml:space="preserve"> </w:t>
      </w:r>
      <w:r w:rsidR="00B56146" w:rsidRPr="00B56146">
        <w:rPr>
          <w:b w:val="0"/>
          <w:bCs/>
        </w:rPr>
        <w:t>January 6, 2011</w:t>
      </w:r>
    </w:p>
    <w:p w14:paraId="4B7D760D" w14:textId="5D7AC607" w:rsidR="004C5767" w:rsidRPr="00057F84" w:rsidRDefault="002C1B8C" w:rsidP="70E341D6">
      <w:pPr>
        <w:pStyle w:val="tbody"/>
        <w:rPr>
          <w:b w:val="0"/>
        </w:rPr>
      </w:pPr>
      <w:r>
        <w:t>Revised</w:t>
      </w:r>
      <w:r w:rsidR="004C5767">
        <w:t xml:space="preserve"> Date:</w:t>
      </w:r>
      <w:r w:rsidR="00065C22">
        <w:t xml:space="preserve"> </w:t>
      </w:r>
      <w:r>
        <w:rPr>
          <w:b w:val="0"/>
          <w:bCs/>
        </w:rPr>
        <w:t>October</w:t>
      </w:r>
      <w:r w:rsidR="00BD4DC4" w:rsidRPr="00BD4DC4">
        <w:rPr>
          <w:b w:val="0"/>
          <w:bCs/>
        </w:rPr>
        <w:t xml:space="preserve">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B27193F" w:rsidR="004C5767" w:rsidRPr="00D27533" w:rsidRDefault="004C5767" w:rsidP="00D27533">
      <w:pPr>
        <w:pStyle w:val="tbody"/>
        <w:rPr>
          <w:b w:val="0"/>
          <w:bCs/>
          <w:spacing w:val="-3"/>
        </w:rPr>
      </w:pPr>
      <w:r w:rsidRPr="004E45D9">
        <w:t xml:space="preserve">Criteria Status: </w:t>
      </w:r>
      <w:r w:rsidR="00566BE4" w:rsidRPr="004E45D9">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5ABD2500" w14:textId="77777777" w:rsidR="00817953" w:rsidRDefault="00BE79D2">
      <w:pPr>
        <w:pStyle w:val="Header"/>
      </w:pPr>
      <w:r w:rsidRPr="00A03D7F">
        <w:rPr>
          <w:spacing w:val="-3"/>
          <w:sz w:val="20"/>
        </w:rPr>
        <w:t xml:space="preserve">Multiple sclerosis (MS) is an inflammatory demyelinating disease of the central nervous system that is associated with many chronic symptoms. MS is an immune-mediated disorder of acute, repeated episodes of inflammation causing the destruction of the myelin sheath and axonal loss. This process leads to chronic multifocal sclerotic plaques and eventually, progressive neurological dysfunction. Multiple sclerosis is the most common cause of neurological disability in young adults and affects twice as many women as men, as is often observed in autoimmune diseases. Multiple sclerosis agents are used to reduce the frequency of relapses and slow disease progression. Most agents are FDA approved for the treatment of relapsing forms of MS.  However, Ocrevus (ocrelizumab) is also approved for primary progressive MS. The </w:t>
      </w:r>
      <w:r w:rsidRPr="00A03D7F">
        <w:rPr>
          <w:sz w:val="20"/>
        </w:rPr>
        <w:t>American Academy of Neurology</w:t>
      </w:r>
      <w:r w:rsidRPr="00A03D7F">
        <w:rPr>
          <w:spacing w:val="-3"/>
          <w:sz w:val="20"/>
        </w:rPr>
        <w:t xml:space="preserve"> does not recommend a specific first-line agent for MS and state participant factors regarding safety, route of administration, cost, and efficacy should be considered when deciding which agent to initiate.</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527A752D" w14:textId="77777777" w:rsidR="00A03D7F" w:rsidRDefault="00A03D7F" w:rsidP="00A03D7F">
      <w:pPr>
        <w:pStyle w:val="ListParagraph"/>
        <w:rPr>
          <w:kern w:val="2"/>
          <w:szCs w:val="20"/>
          <w14:ligatures w14:val="standardContextual"/>
        </w:rPr>
      </w:pPr>
      <w:r>
        <w:t>Avonex</w:t>
      </w:r>
    </w:p>
    <w:p w14:paraId="3EEE33B6" w14:textId="77777777" w:rsidR="00A03D7F" w:rsidRDefault="00A03D7F" w:rsidP="00A03D7F">
      <w:pPr>
        <w:pStyle w:val="ListParagraph"/>
      </w:pPr>
      <w:proofErr w:type="spellStart"/>
      <w:r>
        <w:t>Briumvi</w:t>
      </w:r>
      <w:proofErr w:type="spellEnd"/>
    </w:p>
    <w:p w14:paraId="5342AA54" w14:textId="77777777" w:rsidR="00A03D7F" w:rsidRDefault="00A03D7F" w:rsidP="00A03D7F">
      <w:pPr>
        <w:pStyle w:val="ListParagraph"/>
      </w:pPr>
      <w:r>
        <w:t>Copaxone 20 mg Syringe</w:t>
      </w:r>
    </w:p>
    <w:p w14:paraId="3F8D30DB" w14:textId="77777777" w:rsidR="00A03D7F" w:rsidRDefault="00A03D7F" w:rsidP="00A03D7F">
      <w:pPr>
        <w:pStyle w:val="ListParagraph"/>
      </w:pPr>
      <w:r>
        <w:t xml:space="preserve">Glatiramer </w:t>
      </w:r>
      <w:r>
        <w:rPr>
          <w:spacing w:val="-3"/>
        </w:rPr>
        <w:t xml:space="preserve">40 mg </w:t>
      </w:r>
    </w:p>
    <w:p w14:paraId="26982152" w14:textId="77777777" w:rsidR="00A03D7F" w:rsidRDefault="00A03D7F" w:rsidP="00A03D7F">
      <w:pPr>
        <w:pStyle w:val="ListParagraph"/>
      </w:pPr>
      <w:proofErr w:type="spellStart"/>
      <w:r>
        <w:t>Glatopa</w:t>
      </w:r>
      <w:proofErr w:type="spellEnd"/>
      <w:r>
        <w:t xml:space="preserve"> </w:t>
      </w:r>
      <w:r>
        <w:rPr>
          <w:spacing w:val="-3"/>
        </w:rPr>
        <w:t xml:space="preserve">40 mg </w:t>
      </w:r>
    </w:p>
    <w:p w14:paraId="3542FF83" w14:textId="77777777" w:rsidR="00A03D7F" w:rsidRDefault="00A03D7F" w:rsidP="00A03D7F">
      <w:pPr>
        <w:pStyle w:val="ListParagraph"/>
      </w:pPr>
      <w:proofErr w:type="spellStart"/>
      <w:r>
        <w:t>Kesimpta</w:t>
      </w:r>
      <w:proofErr w:type="spellEnd"/>
    </w:p>
    <w:p w14:paraId="66510B52" w14:textId="77777777" w:rsidR="00A03D7F" w:rsidRDefault="00A03D7F" w:rsidP="00A03D7F">
      <w:pPr>
        <w:pStyle w:val="ListParagraph"/>
      </w:pPr>
      <w:r>
        <w:t>Ocrevus</w:t>
      </w:r>
    </w:p>
    <w:p w14:paraId="4E2C349C" w14:textId="77777777" w:rsidR="00A03D7F" w:rsidRDefault="00A03D7F" w:rsidP="00A03D7F">
      <w:pPr>
        <w:pStyle w:val="ListParagraph"/>
      </w:pPr>
      <w:r>
        <w:t xml:space="preserve">Ocrevus </w:t>
      </w:r>
      <w:proofErr w:type="spellStart"/>
      <w:r>
        <w:t>Zunovo</w:t>
      </w:r>
      <w:proofErr w:type="spellEnd"/>
    </w:p>
    <w:p w14:paraId="10EB2D20" w14:textId="77777777" w:rsidR="00A03D7F" w:rsidRDefault="00A03D7F" w:rsidP="00A03D7F">
      <w:pPr>
        <w:pStyle w:val="ListParagraph"/>
      </w:pPr>
      <w:r>
        <w:t>Rebif</w:t>
      </w:r>
    </w:p>
    <w:p w14:paraId="292EE00B" w14:textId="77777777" w:rsidR="00A03D7F" w:rsidRDefault="00A03D7F" w:rsidP="00A03D7F">
      <w:pPr>
        <w:pStyle w:val="ListParagraph"/>
      </w:pPr>
      <w:r>
        <w:t xml:space="preserve">Rebif </w:t>
      </w:r>
      <w:proofErr w:type="spellStart"/>
      <w:r>
        <w:t>Rebidose</w:t>
      </w:r>
      <w:proofErr w:type="spellEnd"/>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7DDB0D1C" w14:textId="77777777" w:rsidR="00A03D7F" w:rsidRDefault="00A03D7F" w:rsidP="00A03D7F">
      <w:pPr>
        <w:pStyle w:val="ListParagraph"/>
        <w:rPr>
          <w:kern w:val="2"/>
          <w:szCs w:val="20"/>
          <w14:ligatures w14:val="standardContextual"/>
        </w:rPr>
      </w:pPr>
      <w:proofErr w:type="spellStart"/>
      <w:r>
        <w:t>Betaseron</w:t>
      </w:r>
      <w:proofErr w:type="spellEnd"/>
    </w:p>
    <w:p w14:paraId="5792DD70" w14:textId="77777777" w:rsidR="00A03D7F" w:rsidRDefault="00A03D7F" w:rsidP="00A03D7F">
      <w:pPr>
        <w:pStyle w:val="ListParagraph"/>
      </w:pPr>
      <w:r>
        <w:t>Copaxone 40 mg Syringe</w:t>
      </w:r>
    </w:p>
    <w:p w14:paraId="3845EBAD" w14:textId="77777777" w:rsidR="00A03D7F" w:rsidRDefault="00A03D7F" w:rsidP="00A03D7F">
      <w:pPr>
        <w:pStyle w:val="ListParagraph"/>
      </w:pPr>
      <w:r>
        <w:t xml:space="preserve">Glatiramer </w:t>
      </w:r>
      <w:r>
        <w:rPr>
          <w:spacing w:val="-3"/>
        </w:rPr>
        <w:t xml:space="preserve">20 mg </w:t>
      </w:r>
    </w:p>
    <w:p w14:paraId="6D6F2B74" w14:textId="77777777" w:rsidR="00A03D7F" w:rsidRDefault="00A03D7F" w:rsidP="00A03D7F">
      <w:pPr>
        <w:pStyle w:val="ListParagraph"/>
      </w:pPr>
      <w:proofErr w:type="spellStart"/>
      <w:r>
        <w:t>Glatopa</w:t>
      </w:r>
      <w:proofErr w:type="spellEnd"/>
      <w:r>
        <w:t xml:space="preserve"> </w:t>
      </w:r>
      <w:r>
        <w:rPr>
          <w:spacing w:val="-3"/>
        </w:rPr>
        <w:t xml:space="preserve">20 mg </w:t>
      </w:r>
    </w:p>
    <w:p w14:paraId="5CE2F8A6" w14:textId="77777777" w:rsidR="00A03D7F" w:rsidRDefault="00A03D7F" w:rsidP="00A03D7F">
      <w:pPr>
        <w:pStyle w:val="ListParagraph"/>
      </w:pPr>
      <w:r>
        <w:t xml:space="preserve">Lemtrada </w:t>
      </w:r>
    </w:p>
    <w:p w14:paraId="0A69EDB9" w14:textId="77777777" w:rsidR="00A03D7F" w:rsidRDefault="00A03D7F" w:rsidP="00A03D7F">
      <w:pPr>
        <w:pStyle w:val="ListParagraph"/>
      </w:pPr>
      <w:proofErr w:type="spellStart"/>
      <w:r>
        <w:t>Plegridy</w:t>
      </w:r>
      <w:proofErr w:type="spellEnd"/>
    </w:p>
    <w:p w14:paraId="1CD17786" w14:textId="77777777" w:rsidR="00A03D7F" w:rsidRPr="00A03D7F" w:rsidRDefault="00A03D7F" w:rsidP="00A03D7F">
      <w:pPr>
        <w:pStyle w:val="ListParagraph"/>
        <w:rPr>
          <w:b/>
          <w:bCs/>
          <w:color w:val="1F497D" w:themeColor="text2"/>
        </w:rPr>
      </w:pPr>
      <w:proofErr w:type="spellStart"/>
      <w:r w:rsidRPr="00A03D7F">
        <w:rPr>
          <w:b/>
          <w:bCs/>
          <w:color w:val="1F497D" w:themeColor="text2"/>
        </w:rPr>
        <w:t>Tyruko</w:t>
      </w:r>
      <w:proofErr w:type="spellEnd"/>
    </w:p>
    <w:p w14:paraId="2AE314B1" w14:textId="77777777" w:rsidR="00A03D7F" w:rsidRDefault="00A03D7F" w:rsidP="00A03D7F">
      <w:pPr>
        <w:pStyle w:val="ListParagraph"/>
      </w:pPr>
      <w:r>
        <w:lastRenderedPageBreak/>
        <w:t>Tysabri</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5B9648F" w:rsidR="0097028A" w:rsidRPr="0079438F" w:rsidRDefault="0097028A" w:rsidP="00696E3A">
      <w:pPr>
        <w:rPr>
          <w:b/>
        </w:rPr>
      </w:pPr>
      <w:r w:rsidRPr="00696E3A">
        <w:rPr>
          <w:b/>
          <w:bCs/>
        </w:rPr>
        <w:t>Drug class for review:</w:t>
      </w:r>
      <w:r w:rsidRPr="00C02553">
        <w:t xml:space="preserve"> </w:t>
      </w:r>
      <w:r w:rsidR="00C42D9F" w:rsidRPr="00C42D9F">
        <w:t>Multiple Sclerosis Agents, Injectable</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E06E7CF" w14:textId="77777777" w:rsidR="00F54BF0" w:rsidRDefault="00F54BF0" w:rsidP="00F54BF0">
      <w:pPr>
        <w:pStyle w:val="ListParagraph"/>
        <w:numPr>
          <w:ilvl w:val="0"/>
          <w:numId w:val="18"/>
        </w:numPr>
        <w:rPr>
          <w:rFonts w:cs="Arial"/>
        </w:rPr>
      </w:pPr>
      <w:r>
        <w:rPr>
          <w:rFonts w:cs="Arial"/>
        </w:rPr>
        <w:t>Must meet one of the following:</w:t>
      </w:r>
    </w:p>
    <w:p w14:paraId="69F7F5CB" w14:textId="77777777" w:rsidR="00F54BF0" w:rsidRPr="0097046B" w:rsidRDefault="00F54BF0" w:rsidP="00F54BF0">
      <w:pPr>
        <w:pStyle w:val="ListParagraph"/>
        <w:numPr>
          <w:ilvl w:val="1"/>
          <w:numId w:val="18"/>
        </w:numPr>
        <w:tabs>
          <w:tab w:val="left" w:pos="720"/>
        </w:tabs>
        <w:ind w:left="810" w:hanging="450"/>
        <w:rPr>
          <w:rFonts w:cs="Arial"/>
        </w:rPr>
      </w:pPr>
      <w:r>
        <w:rPr>
          <w:rFonts w:cs="Arial"/>
        </w:rPr>
        <w:t>Claim is for a preferred agent;</w:t>
      </w:r>
    </w:p>
    <w:p w14:paraId="689D67DA" w14:textId="77777777" w:rsidR="00F54BF0" w:rsidRDefault="00F54BF0" w:rsidP="00F54BF0">
      <w:pPr>
        <w:pStyle w:val="ListParagraph"/>
        <w:numPr>
          <w:ilvl w:val="1"/>
          <w:numId w:val="18"/>
        </w:numPr>
        <w:tabs>
          <w:tab w:val="left" w:pos="720"/>
        </w:tabs>
        <w:ind w:left="810" w:hanging="450"/>
        <w:rPr>
          <w:rFonts w:cs="Arial"/>
          <w:szCs w:val="20"/>
        </w:rPr>
      </w:pPr>
      <w:r w:rsidRPr="60DC2167">
        <w:rPr>
          <w:rFonts w:cs="Arial"/>
          <w:szCs w:val="20"/>
        </w:rPr>
        <w:t xml:space="preserve">Documented compliance on current therapy regimen; </w:t>
      </w:r>
      <w:r w:rsidRPr="60DC2167">
        <w:rPr>
          <w:rFonts w:cs="Arial"/>
          <w:b/>
          <w:bCs/>
          <w:szCs w:val="20"/>
        </w:rPr>
        <w:t>OR</w:t>
      </w:r>
    </w:p>
    <w:p w14:paraId="79A600BD" w14:textId="77777777" w:rsidR="00F54BF0" w:rsidRDefault="00F54BF0" w:rsidP="00F54BF0">
      <w:pPr>
        <w:numPr>
          <w:ilvl w:val="1"/>
          <w:numId w:val="18"/>
        </w:numPr>
        <w:tabs>
          <w:tab w:val="left" w:pos="720"/>
        </w:tabs>
        <w:ind w:left="720"/>
        <w:rPr>
          <w:rFonts w:cs="Arial"/>
        </w:rPr>
      </w:pPr>
      <w:r>
        <w:rPr>
          <w:rFonts w:cs="Arial"/>
        </w:rPr>
        <w:t>Failure to achieve desired therapeutic outcomes with trial of 2 or more preferred agents, defined as one or more of the following:</w:t>
      </w:r>
    </w:p>
    <w:p w14:paraId="70775E19" w14:textId="77777777" w:rsidR="00F54BF0" w:rsidRDefault="00F54BF0" w:rsidP="00F54BF0">
      <w:pPr>
        <w:numPr>
          <w:ilvl w:val="2"/>
          <w:numId w:val="18"/>
        </w:numPr>
        <w:ind w:left="1080"/>
        <w:rPr>
          <w:rFonts w:cs="Arial"/>
        </w:rPr>
      </w:pPr>
      <w:r>
        <w:rPr>
          <w:rFonts w:cs="Arial"/>
        </w:rPr>
        <w:t>1 or more relapses;</w:t>
      </w:r>
    </w:p>
    <w:p w14:paraId="2E61E6A2" w14:textId="77777777" w:rsidR="00F54BF0" w:rsidRDefault="00F54BF0" w:rsidP="00F54BF0">
      <w:pPr>
        <w:numPr>
          <w:ilvl w:val="2"/>
          <w:numId w:val="18"/>
        </w:numPr>
        <w:ind w:left="1080"/>
        <w:rPr>
          <w:rFonts w:cs="Arial"/>
        </w:rPr>
      </w:pPr>
      <w:r>
        <w:rPr>
          <w:rFonts w:cs="Arial"/>
        </w:rPr>
        <w:t>1 or more new lesions confirmed by magnetic resonance imaging (MRI);</w:t>
      </w:r>
    </w:p>
    <w:p w14:paraId="7CD9B0EF" w14:textId="77777777" w:rsidR="00F54BF0" w:rsidRPr="00A43D15" w:rsidRDefault="00F54BF0" w:rsidP="00F54BF0">
      <w:pPr>
        <w:numPr>
          <w:ilvl w:val="2"/>
          <w:numId w:val="18"/>
        </w:numPr>
        <w:ind w:left="1080"/>
        <w:rPr>
          <w:rFonts w:cs="Arial"/>
        </w:rPr>
      </w:pPr>
      <w:r>
        <w:rPr>
          <w:rFonts w:cs="Arial"/>
        </w:rPr>
        <w:t xml:space="preserve">Participant demonstrates increased disability on a clinical rating scale such as the Expanded </w:t>
      </w:r>
      <w:r w:rsidRPr="00F74538">
        <w:rPr>
          <w:rFonts w:cs="Arial"/>
        </w:rPr>
        <w:t>Disability Status Scale (EDSS) or the Functional Systems Score (FSS)</w:t>
      </w:r>
      <w:r>
        <w:rPr>
          <w:rFonts w:cs="Arial"/>
        </w:rPr>
        <w:t xml:space="preserve">; </w:t>
      </w:r>
      <w:r w:rsidRPr="00671322">
        <w:rPr>
          <w:rFonts w:cs="Arial"/>
          <w:b/>
          <w:bCs/>
        </w:rPr>
        <w:t>OR</w:t>
      </w:r>
    </w:p>
    <w:p w14:paraId="4665CA18" w14:textId="77777777" w:rsidR="00F54BF0" w:rsidRPr="0067675A" w:rsidRDefault="00F54BF0" w:rsidP="00F54BF0">
      <w:pPr>
        <w:numPr>
          <w:ilvl w:val="2"/>
          <w:numId w:val="18"/>
        </w:numPr>
        <w:ind w:left="1080"/>
        <w:rPr>
          <w:rFonts w:cs="Arial"/>
        </w:rPr>
      </w:pPr>
      <w:r w:rsidRPr="00A43D15">
        <w:rPr>
          <w:rFonts w:cs="Arial"/>
          <w:szCs w:val="20"/>
        </w:rPr>
        <w:t>Documented ADE/ADR to preferred agents</w:t>
      </w:r>
      <w:r>
        <w:rPr>
          <w:rFonts w:cs="Arial"/>
          <w:szCs w:val="20"/>
        </w:rPr>
        <w:t>.</w:t>
      </w:r>
    </w:p>
    <w:p w14:paraId="17DB7FE9" w14:textId="43A08DAA" w:rsidR="00091BA2" w:rsidRPr="00285B05" w:rsidRDefault="00091BA2" w:rsidP="00091BA2">
      <w:pPr>
        <w:pStyle w:val="ListParagraph"/>
        <w:numPr>
          <w:ilvl w:val="0"/>
          <w:numId w:val="18"/>
        </w:numPr>
        <w:rPr>
          <w:rFonts w:cs="Arial"/>
          <w:b/>
          <w:bCs/>
          <w:color w:val="1F497D" w:themeColor="text2"/>
        </w:rPr>
      </w:pPr>
      <w:r w:rsidRPr="00285B05">
        <w:rPr>
          <w:rFonts w:cs="Arial"/>
          <w:b/>
          <w:bCs/>
          <w:color w:val="1F497D" w:themeColor="text2"/>
        </w:rPr>
        <w:t>Additional criteria for Tyruko:</w:t>
      </w:r>
      <w:r w:rsidR="006112F1" w:rsidRPr="00285B05">
        <w:rPr>
          <w:rFonts w:cs="Arial"/>
          <w:b/>
          <w:bCs/>
          <w:color w:val="1F497D" w:themeColor="text2"/>
        </w:rPr>
        <w:t xml:space="preserve"> must provide reason why </w:t>
      </w:r>
      <w:proofErr w:type="gramStart"/>
      <w:r w:rsidR="006112F1" w:rsidRPr="00285B05">
        <w:rPr>
          <w:rFonts w:cs="Arial"/>
          <w:b/>
          <w:bCs/>
          <w:color w:val="1F497D" w:themeColor="text2"/>
        </w:rPr>
        <w:t>participant</w:t>
      </w:r>
      <w:proofErr w:type="gramEnd"/>
      <w:r w:rsidR="006112F1" w:rsidRPr="00285B05">
        <w:rPr>
          <w:rFonts w:cs="Arial"/>
          <w:b/>
          <w:bCs/>
          <w:color w:val="1F497D" w:themeColor="text2"/>
        </w:rPr>
        <w:t xml:space="preserve"> cannot utilize Tysabri.</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4D21EAF1" w14:textId="019327A3" w:rsidR="001E4CBA" w:rsidRPr="00F54BF0" w:rsidRDefault="00904D7A" w:rsidP="00F54BF0">
      <w:pPr>
        <w:pStyle w:val="ListParagraph"/>
        <w:numPr>
          <w:ilvl w:val="1"/>
          <w:numId w:val="6"/>
        </w:numPr>
        <w:rPr>
          <w:rFonts w:cs="Arial"/>
          <w:szCs w:val="22"/>
        </w:rPr>
      </w:pPr>
      <w:proofErr w:type="gramStart"/>
      <w:r w:rsidRPr="005328B2">
        <w:t>Any</w:t>
      </w:r>
      <w:proofErr w:type="gramEnd"/>
      <w:r w:rsidRPr="005328B2">
        <w:t xml:space="preserve"> approval criteria </w:t>
      </w:r>
      <w:proofErr w:type="gramStart"/>
      <w:r w:rsidRPr="005328B2">
        <w:t>are not</w:t>
      </w:r>
      <w:proofErr w:type="gramEnd"/>
      <w:r w:rsidRPr="005328B2">
        <w:t xml:space="preserve"> </w:t>
      </w:r>
      <w:r w:rsidR="00B10F4A" w:rsidRPr="005328B2">
        <w:t>met.</w:t>
      </w:r>
    </w:p>
    <w:p w14:paraId="17734948" w14:textId="77777777" w:rsidR="00F54BF0" w:rsidRPr="002C2C41" w:rsidRDefault="00F54BF0" w:rsidP="00F54BF0">
      <w:pPr>
        <w:pStyle w:val="ListParagraph"/>
        <w:numPr>
          <w:ilvl w:val="0"/>
          <w:numId w:val="0"/>
        </w:numPr>
        <w:ind w:left="72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5D98C3B2" w14:textId="77777777" w:rsidR="00817953" w:rsidRPr="00221B90" w:rsidRDefault="00817953" w:rsidP="00817953">
      <w:pPr>
        <w:pStyle w:val="ListParagraph"/>
        <w:numPr>
          <w:ilvl w:val="0"/>
          <w:numId w:val="19"/>
        </w:numPr>
        <w:rPr>
          <w:rFonts w:cs="Arial"/>
          <w:szCs w:val="20"/>
        </w:rPr>
      </w:pPr>
      <w:r w:rsidRPr="00221B90">
        <w:rPr>
          <w:rFonts w:cs="Arial"/>
          <w:szCs w:val="20"/>
        </w:rPr>
        <w:t xml:space="preserve">Evidence-Based Medicine and Fiscal Analysis: “Therapeutic Class Review: Multiple Sclerosis Agents, Injectable”, Gainwell Technologies; Last updated </w:t>
      </w:r>
      <w:r>
        <w:rPr>
          <w:rFonts w:cs="Arial"/>
          <w:szCs w:val="20"/>
        </w:rPr>
        <w:t>May 6, 2025</w:t>
      </w:r>
      <w:r w:rsidRPr="00221B90">
        <w:rPr>
          <w:rFonts w:cs="Arial"/>
          <w:szCs w:val="20"/>
        </w:rPr>
        <w:t>.</w:t>
      </w:r>
    </w:p>
    <w:p w14:paraId="4898642C" w14:textId="53B0DDCC" w:rsidR="00817953" w:rsidRPr="00221B90" w:rsidRDefault="00817953" w:rsidP="732268EE">
      <w:pPr>
        <w:pStyle w:val="ListParagraph"/>
        <w:rPr>
          <w:rFonts w:cs="Arial"/>
        </w:rPr>
      </w:pPr>
      <w:r w:rsidRPr="732268EE">
        <w:rPr>
          <w:rFonts w:cs="Arial"/>
        </w:rPr>
        <w:t xml:space="preserve">Evidence-Based Medicine Analysis: “Central Nervous System: Multiple Sclerosis (MS), Injectable Agents”, UMKC-DIC; </w:t>
      </w:r>
      <w:r w:rsidR="536254B8" w:rsidRPr="732268EE">
        <w:rPr>
          <w:rFonts w:cs="Arial"/>
        </w:rPr>
        <w:t>March</w:t>
      </w:r>
      <w:r w:rsidRPr="732268EE">
        <w:rPr>
          <w:rFonts w:cs="Arial"/>
        </w:rPr>
        <w:t xml:space="preserve"> 202</w:t>
      </w:r>
      <w:r w:rsidR="38DD9B75" w:rsidRPr="732268EE">
        <w:rPr>
          <w:rFonts w:cs="Arial"/>
        </w:rPr>
        <w:t>6</w:t>
      </w:r>
      <w:r w:rsidRPr="732268EE">
        <w:rPr>
          <w:rFonts w:cs="Arial"/>
        </w:rPr>
        <w:t>.</w:t>
      </w:r>
    </w:p>
    <w:p w14:paraId="1947C407" w14:textId="77777777" w:rsidR="00817953" w:rsidRPr="00221B90" w:rsidRDefault="00817953" w:rsidP="00817953">
      <w:pPr>
        <w:pStyle w:val="ListParagraph"/>
        <w:numPr>
          <w:ilvl w:val="0"/>
          <w:numId w:val="19"/>
        </w:numPr>
        <w:rPr>
          <w:rFonts w:cs="Arial"/>
          <w:szCs w:val="20"/>
        </w:rPr>
      </w:pPr>
      <w:r w:rsidRPr="00221B90">
        <w:rPr>
          <w:rFonts w:cs="Arial"/>
        </w:rPr>
        <w:t xml:space="preserve">American Academy of Neurology: Practice Guideline Recommendations Summary: Disease-Modifying Therapies for Adults with Multiple Sclerosis. Available at URL: https://www.aan.com/Guidelines/home/GuidelineDetail/898. </w:t>
      </w:r>
    </w:p>
    <w:p w14:paraId="4A7584FF" w14:textId="77777777" w:rsidR="00817953" w:rsidRDefault="00817953" w:rsidP="00817953">
      <w:pPr>
        <w:pStyle w:val="ListParagraph"/>
        <w:numPr>
          <w:ilvl w:val="0"/>
          <w:numId w:val="19"/>
        </w:numPr>
        <w:rPr>
          <w:rFonts w:cs="Arial"/>
          <w:szCs w:val="20"/>
        </w:rPr>
      </w:pPr>
      <w:r w:rsidRPr="00817953">
        <w:rPr>
          <w:rFonts w:cs="Arial"/>
        </w:rPr>
        <w:t>USPDI</w:t>
      </w:r>
      <w:r w:rsidRPr="00817953">
        <w:rPr>
          <w:rFonts w:cs="Arial"/>
          <w:szCs w:val="20"/>
        </w:rPr>
        <w:t xml:space="preserve">, Micromedex; 2025. </w:t>
      </w:r>
    </w:p>
    <w:p w14:paraId="0D0EB92B" w14:textId="612FA847" w:rsidR="00817953" w:rsidRPr="00817953" w:rsidRDefault="00817953" w:rsidP="00817953">
      <w:pPr>
        <w:pStyle w:val="ListParagraph"/>
        <w:numPr>
          <w:ilvl w:val="0"/>
          <w:numId w:val="19"/>
        </w:numPr>
        <w:rPr>
          <w:rFonts w:cs="Arial"/>
          <w:szCs w:val="20"/>
        </w:rPr>
      </w:pPr>
      <w:r w:rsidRPr="00817953">
        <w:rPr>
          <w:rFonts w:cs="Arial"/>
        </w:rPr>
        <w:t>Clinical</w:t>
      </w:r>
      <w:r w:rsidRPr="00817953">
        <w:rPr>
          <w:rFonts w:cs="Arial"/>
          <w:szCs w:val="20"/>
        </w:rPr>
        <w:t xml:space="preserve"> Pharmacology [online]. Tampa (FL): Elsevier. 2025</w:t>
      </w:r>
      <w:r>
        <w:rPr>
          <w:rFonts w:cs="Arial"/>
          <w:szCs w:val="20"/>
        </w:rPr>
        <w:t>.</w:t>
      </w:r>
    </w:p>
    <w:sectPr w:rsidR="00817953" w:rsidRPr="00817953"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BBC79" w14:textId="77777777" w:rsidR="009123F2" w:rsidRPr="00C02553" w:rsidRDefault="009123F2" w:rsidP="00AE77DB">
      <w:r w:rsidRPr="00C02553">
        <w:separator/>
      </w:r>
    </w:p>
  </w:endnote>
  <w:endnote w:type="continuationSeparator" w:id="0">
    <w:p w14:paraId="351D0109" w14:textId="77777777" w:rsidR="009123F2" w:rsidRPr="00C02553" w:rsidRDefault="009123F2" w:rsidP="00AE77DB">
      <w:r w:rsidRPr="00C02553">
        <w:continuationSeparator/>
      </w:r>
    </w:p>
  </w:endnote>
  <w:endnote w:type="continuationNotice" w:id="1">
    <w:p w14:paraId="6354C1A0" w14:textId="77777777" w:rsidR="009123F2" w:rsidRPr="00C02553" w:rsidRDefault="009123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8209F" w14:textId="77777777" w:rsidR="009123F2" w:rsidRPr="00C02553" w:rsidRDefault="009123F2" w:rsidP="00AE77DB">
      <w:r w:rsidRPr="00C02553">
        <w:separator/>
      </w:r>
    </w:p>
  </w:footnote>
  <w:footnote w:type="continuationSeparator" w:id="0">
    <w:p w14:paraId="41D53CE1" w14:textId="77777777" w:rsidR="009123F2" w:rsidRPr="00C02553" w:rsidRDefault="009123F2" w:rsidP="00AE77DB">
      <w:r w:rsidRPr="00C02553">
        <w:continuationSeparator/>
      </w:r>
    </w:p>
  </w:footnote>
  <w:footnote w:type="continuationNotice" w:id="1">
    <w:p w14:paraId="4703C029" w14:textId="77777777" w:rsidR="009123F2" w:rsidRPr="00C02553" w:rsidRDefault="009123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6277593"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2D66BD4"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AF8642B"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7CF04CB"/>
    <w:multiLevelType w:val="hybridMultilevel"/>
    <w:tmpl w:val="A3C8C6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37212D2"/>
    <w:multiLevelType w:val="hybridMultilevel"/>
    <w:tmpl w:val="8A78B3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35AEB"/>
    <w:multiLevelType w:val="multilevel"/>
    <w:tmpl w:val="83D28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622485"/>
    <w:multiLevelType w:val="multilevel"/>
    <w:tmpl w:val="7F4E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4"/>
  </w:num>
  <w:num w:numId="4" w16cid:durableId="320159068">
    <w:abstractNumId w:val="10"/>
  </w:num>
  <w:num w:numId="5" w16cid:durableId="1769498754">
    <w:abstractNumId w:val="3"/>
  </w:num>
  <w:num w:numId="6" w16cid:durableId="1094596320">
    <w:abstractNumId w:val="17"/>
  </w:num>
  <w:num w:numId="7" w16cid:durableId="2110008555">
    <w:abstractNumId w:val="2"/>
  </w:num>
  <w:num w:numId="8" w16cid:durableId="489712751">
    <w:abstractNumId w:val="8"/>
  </w:num>
  <w:num w:numId="9" w16cid:durableId="1085147965">
    <w:abstractNumId w:val="15"/>
  </w:num>
  <w:num w:numId="10" w16cid:durableId="917518096">
    <w:abstractNumId w:val="11"/>
  </w:num>
  <w:num w:numId="11" w16cid:durableId="1894998475">
    <w:abstractNumId w:val="1"/>
  </w:num>
  <w:num w:numId="12" w16cid:durableId="1418215296">
    <w:abstractNumId w:val="19"/>
  </w:num>
  <w:num w:numId="13" w16cid:durableId="604729665">
    <w:abstractNumId w:val="7"/>
  </w:num>
  <w:num w:numId="14" w16cid:durableId="1805081292">
    <w:abstractNumId w:val="16"/>
  </w:num>
  <w:num w:numId="15" w16cid:durableId="1538271233">
    <w:abstractNumId w:val="18"/>
  </w:num>
  <w:num w:numId="16" w16cid:durableId="1276518432">
    <w:abstractNumId w:val="12"/>
  </w:num>
  <w:num w:numId="17" w16cid:durableId="754521697">
    <w:abstractNumId w:val="5"/>
  </w:num>
  <w:num w:numId="18" w16cid:durableId="2754360">
    <w:abstractNumId w:val="6"/>
  </w:num>
  <w:num w:numId="19" w16cid:durableId="1063869202">
    <w:abstractNumId w:val="9"/>
  </w:num>
  <w:num w:numId="20" w16cid:durableId="546066214">
    <w:abstractNumId w:val="17"/>
  </w:num>
  <w:num w:numId="21" w16cid:durableId="263344778">
    <w:abstractNumId w:val="17"/>
  </w:num>
  <w:num w:numId="22" w16cid:durableId="875850764">
    <w:abstractNumId w:val="14"/>
  </w:num>
  <w:num w:numId="23" w16cid:durableId="1872302398">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or6YMkTWWiFfw5U41546jLFnTZyrf/zVMjwvmyZ6skyb0/LCucWZLP2w+lYJRoLCWfmkKSsJdRda/6IiFgm+9w==" w:salt="LyQYzamu/dc7QlXZ1FTZh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0D7"/>
    <w:rsid w:val="0000390A"/>
    <w:rsid w:val="0000457E"/>
    <w:rsid w:val="00006A61"/>
    <w:rsid w:val="00024280"/>
    <w:rsid w:val="000276D9"/>
    <w:rsid w:val="000344C5"/>
    <w:rsid w:val="00036A0F"/>
    <w:rsid w:val="00040AD3"/>
    <w:rsid w:val="00053807"/>
    <w:rsid w:val="000572E5"/>
    <w:rsid w:val="00057F84"/>
    <w:rsid w:val="00061541"/>
    <w:rsid w:val="00064162"/>
    <w:rsid w:val="00065C22"/>
    <w:rsid w:val="00066885"/>
    <w:rsid w:val="00074464"/>
    <w:rsid w:val="00076030"/>
    <w:rsid w:val="00082590"/>
    <w:rsid w:val="000913C3"/>
    <w:rsid w:val="00091BA2"/>
    <w:rsid w:val="000953B9"/>
    <w:rsid w:val="000A413B"/>
    <w:rsid w:val="000A6279"/>
    <w:rsid w:val="000B496B"/>
    <w:rsid w:val="000C3940"/>
    <w:rsid w:val="000C5992"/>
    <w:rsid w:val="000E1479"/>
    <w:rsid w:val="000E21CC"/>
    <w:rsid w:val="000E231E"/>
    <w:rsid w:val="000E247D"/>
    <w:rsid w:val="000E6B14"/>
    <w:rsid w:val="000E70D8"/>
    <w:rsid w:val="001062F6"/>
    <w:rsid w:val="00112FC7"/>
    <w:rsid w:val="00116452"/>
    <w:rsid w:val="00125F5F"/>
    <w:rsid w:val="00126951"/>
    <w:rsid w:val="00126B60"/>
    <w:rsid w:val="001273EB"/>
    <w:rsid w:val="00127EF6"/>
    <w:rsid w:val="001310AD"/>
    <w:rsid w:val="001314A5"/>
    <w:rsid w:val="00132C7F"/>
    <w:rsid w:val="00144DBE"/>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85B05"/>
    <w:rsid w:val="00287D91"/>
    <w:rsid w:val="00290A03"/>
    <w:rsid w:val="0029159A"/>
    <w:rsid w:val="00291600"/>
    <w:rsid w:val="002A02F4"/>
    <w:rsid w:val="002B6347"/>
    <w:rsid w:val="002C1B8C"/>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061F"/>
    <w:rsid w:val="003355AC"/>
    <w:rsid w:val="00343D6B"/>
    <w:rsid w:val="00347FB5"/>
    <w:rsid w:val="00355515"/>
    <w:rsid w:val="003608B5"/>
    <w:rsid w:val="003613AF"/>
    <w:rsid w:val="003663B5"/>
    <w:rsid w:val="00372250"/>
    <w:rsid w:val="00384A24"/>
    <w:rsid w:val="003878C1"/>
    <w:rsid w:val="00396C0B"/>
    <w:rsid w:val="003A211F"/>
    <w:rsid w:val="003A630F"/>
    <w:rsid w:val="003B3958"/>
    <w:rsid w:val="003B4820"/>
    <w:rsid w:val="003B5F4B"/>
    <w:rsid w:val="003B682F"/>
    <w:rsid w:val="003C53FC"/>
    <w:rsid w:val="003C7013"/>
    <w:rsid w:val="003D641B"/>
    <w:rsid w:val="003F227C"/>
    <w:rsid w:val="004023CC"/>
    <w:rsid w:val="00407564"/>
    <w:rsid w:val="00411152"/>
    <w:rsid w:val="0041424D"/>
    <w:rsid w:val="004156AA"/>
    <w:rsid w:val="004253A1"/>
    <w:rsid w:val="004313B6"/>
    <w:rsid w:val="00433339"/>
    <w:rsid w:val="00446BBC"/>
    <w:rsid w:val="004472C0"/>
    <w:rsid w:val="00450705"/>
    <w:rsid w:val="00451928"/>
    <w:rsid w:val="0046618B"/>
    <w:rsid w:val="00475792"/>
    <w:rsid w:val="0048608C"/>
    <w:rsid w:val="00496E57"/>
    <w:rsid w:val="004A5EA9"/>
    <w:rsid w:val="004B3E10"/>
    <w:rsid w:val="004B501D"/>
    <w:rsid w:val="004C0F5D"/>
    <w:rsid w:val="004C375A"/>
    <w:rsid w:val="004C4954"/>
    <w:rsid w:val="004C5767"/>
    <w:rsid w:val="004D5322"/>
    <w:rsid w:val="004D78B0"/>
    <w:rsid w:val="004E45D9"/>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90652"/>
    <w:rsid w:val="0059235F"/>
    <w:rsid w:val="00596936"/>
    <w:rsid w:val="005A2F1E"/>
    <w:rsid w:val="005A4232"/>
    <w:rsid w:val="005B168B"/>
    <w:rsid w:val="005C3616"/>
    <w:rsid w:val="005D36B2"/>
    <w:rsid w:val="005D52E7"/>
    <w:rsid w:val="005D78B5"/>
    <w:rsid w:val="005E3572"/>
    <w:rsid w:val="005E45E4"/>
    <w:rsid w:val="005F0A81"/>
    <w:rsid w:val="005F0FCF"/>
    <w:rsid w:val="0060042F"/>
    <w:rsid w:val="006008BC"/>
    <w:rsid w:val="00602CFD"/>
    <w:rsid w:val="00606B55"/>
    <w:rsid w:val="00607383"/>
    <w:rsid w:val="006112F1"/>
    <w:rsid w:val="00612A7B"/>
    <w:rsid w:val="00616E5E"/>
    <w:rsid w:val="006173A4"/>
    <w:rsid w:val="00617E50"/>
    <w:rsid w:val="006205AD"/>
    <w:rsid w:val="00625C3A"/>
    <w:rsid w:val="00635DDB"/>
    <w:rsid w:val="0064149A"/>
    <w:rsid w:val="006437F3"/>
    <w:rsid w:val="00645381"/>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1693"/>
    <w:rsid w:val="006D2330"/>
    <w:rsid w:val="006E0F8B"/>
    <w:rsid w:val="006E12F7"/>
    <w:rsid w:val="006E29D7"/>
    <w:rsid w:val="006E516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6915"/>
    <w:rsid w:val="00811A70"/>
    <w:rsid w:val="0081406E"/>
    <w:rsid w:val="00817953"/>
    <w:rsid w:val="00832211"/>
    <w:rsid w:val="008325F4"/>
    <w:rsid w:val="00832AC8"/>
    <w:rsid w:val="0083502D"/>
    <w:rsid w:val="00844981"/>
    <w:rsid w:val="00846FA4"/>
    <w:rsid w:val="008524BA"/>
    <w:rsid w:val="00852B74"/>
    <w:rsid w:val="00856928"/>
    <w:rsid w:val="00865538"/>
    <w:rsid w:val="00870875"/>
    <w:rsid w:val="0088225C"/>
    <w:rsid w:val="00884026"/>
    <w:rsid w:val="00884C78"/>
    <w:rsid w:val="008859E1"/>
    <w:rsid w:val="00896264"/>
    <w:rsid w:val="008A5D88"/>
    <w:rsid w:val="008A7982"/>
    <w:rsid w:val="008B2851"/>
    <w:rsid w:val="008B4FCF"/>
    <w:rsid w:val="008C000E"/>
    <w:rsid w:val="008D0F2F"/>
    <w:rsid w:val="008D237F"/>
    <w:rsid w:val="008D5E49"/>
    <w:rsid w:val="008D6B05"/>
    <w:rsid w:val="008E7D2D"/>
    <w:rsid w:val="008F44C0"/>
    <w:rsid w:val="008F5999"/>
    <w:rsid w:val="00903AD6"/>
    <w:rsid w:val="00904D7A"/>
    <w:rsid w:val="009123F2"/>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3CD4"/>
    <w:rsid w:val="009A0FB1"/>
    <w:rsid w:val="009A1FAC"/>
    <w:rsid w:val="009B001A"/>
    <w:rsid w:val="009B1A62"/>
    <w:rsid w:val="009B5424"/>
    <w:rsid w:val="009C3CC7"/>
    <w:rsid w:val="009D2057"/>
    <w:rsid w:val="009D3D6C"/>
    <w:rsid w:val="009D5551"/>
    <w:rsid w:val="009D62DB"/>
    <w:rsid w:val="009E3B42"/>
    <w:rsid w:val="00A03D7F"/>
    <w:rsid w:val="00A05B60"/>
    <w:rsid w:val="00A12F54"/>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0F62"/>
    <w:rsid w:val="00AD2C5F"/>
    <w:rsid w:val="00AE1481"/>
    <w:rsid w:val="00AE27F9"/>
    <w:rsid w:val="00AE3473"/>
    <w:rsid w:val="00AE77DB"/>
    <w:rsid w:val="00AF7453"/>
    <w:rsid w:val="00B00FFF"/>
    <w:rsid w:val="00B04A72"/>
    <w:rsid w:val="00B06084"/>
    <w:rsid w:val="00B10F4A"/>
    <w:rsid w:val="00B16735"/>
    <w:rsid w:val="00B17EDE"/>
    <w:rsid w:val="00B22585"/>
    <w:rsid w:val="00B33693"/>
    <w:rsid w:val="00B34C53"/>
    <w:rsid w:val="00B43E34"/>
    <w:rsid w:val="00B507A5"/>
    <w:rsid w:val="00B52475"/>
    <w:rsid w:val="00B535DA"/>
    <w:rsid w:val="00B56146"/>
    <w:rsid w:val="00B56DCC"/>
    <w:rsid w:val="00B56F54"/>
    <w:rsid w:val="00B638C2"/>
    <w:rsid w:val="00B758AB"/>
    <w:rsid w:val="00B76277"/>
    <w:rsid w:val="00B772AB"/>
    <w:rsid w:val="00B80395"/>
    <w:rsid w:val="00B80B56"/>
    <w:rsid w:val="00B86372"/>
    <w:rsid w:val="00BA1C17"/>
    <w:rsid w:val="00BA1D65"/>
    <w:rsid w:val="00BB3B4D"/>
    <w:rsid w:val="00BB4EDD"/>
    <w:rsid w:val="00BC351E"/>
    <w:rsid w:val="00BC3F77"/>
    <w:rsid w:val="00BC5635"/>
    <w:rsid w:val="00BC5675"/>
    <w:rsid w:val="00BD081C"/>
    <w:rsid w:val="00BD277B"/>
    <w:rsid w:val="00BD47CA"/>
    <w:rsid w:val="00BD4DC4"/>
    <w:rsid w:val="00BD62C7"/>
    <w:rsid w:val="00BE020D"/>
    <w:rsid w:val="00BE354A"/>
    <w:rsid w:val="00BE79D2"/>
    <w:rsid w:val="00BF5EEF"/>
    <w:rsid w:val="00C02553"/>
    <w:rsid w:val="00C03299"/>
    <w:rsid w:val="00C04EB6"/>
    <w:rsid w:val="00C056F9"/>
    <w:rsid w:val="00C1018C"/>
    <w:rsid w:val="00C1150E"/>
    <w:rsid w:val="00C14D52"/>
    <w:rsid w:val="00C2586C"/>
    <w:rsid w:val="00C26001"/>
    <w:rsid w:val="00C342CB"/>
    <w:rsid w:val="00C34E72"/>
    <w:rsid w:val="00C42D9F"/>
    <w:rsid w:val="00C56B1F"/>
    <w:rsid w:val="00C61B52"/>
    <w:rsid w:val="00C62745"/>
    <w:rsid w:val="00C654CA"/>
    <w:rsid w:val="00C722C9"/>
    <w:rsid w:val="00C763BD"/>
    <w:rsid w:val="00C76596"/>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64FD7"/>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20DD"/>
    <w:rsid w:val="00E34158"/>
    <w:rsid w:val="00E354AA"/>
    <w:rsid w:val="00E36286"/>
    <w:rsid w:val="00E43D54"/>
    <w:rsid w:val="00E442FB"/>
    <w:rsid w:val="00E5006F"/>
    <w:rsid w:val="00E529DB"/>
    <w:rsid w:val="00E53A5E"/>
    <w:rsid w:val="00E6466A"/>
    <w:rsid w:val="00E72221"/>
    <w:rsid w:val="00E83428"/>
    <w:rsid w:val="00E84C58"/>
    <w:rsid w:val="00E873A5"/>
    <w:rsid w:val="00E90D11"/>
    <w:rsid w:val="00E915E5"/>
    <w:rsid w:val="00EB0367"/>
    <w:rsid w:val="00EB4FB9"/>
    <w:rsid w:val="00EB5BC8"/>
    <w:rsid w:val="00EC2738"/>
    <w:rsid w:val="00EC5309"/>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BF0"/>
    <w:rsid w:val="00F54C08"/>
    <w:rsid w:val="00F553A2"/>
    <w:rsid w:val="00F6068C"/>
    <w:rsid w:val="00F62F33"/>
    <w:rsid w:val="00F63A52"/>
    <w:rsid w:val="00F730BA"/>
    <w:rsid w:val="00F80E20"/>
    <w:rsid w:val="00F87CE2"/>
    <w:rsid w:val="00F903BE"/>
    <w:rsid w:val="00F95D04"/>
    <w:rsid w:val="00FA16EC"/>
    <w:rsid w:val="00FA2811"/>
    <w:rsid w:val="00FA2CFB"/>
    <w:rsid w:val="00FA4837"/>
    <w:rsid w:val="00FB1D33"/>
    <w:rsid w:val="00FB5299"/>
    <w:rsid w:val="00FB5E96"/>
    <w:rsid w:val="00FC008C"/>
    <w:rsid w:val="00FC05A0"/>
    <w:rsid w:val="00FC6758"/>
    <w:rsid w:val="00FD3014"/>
    <w:rsid w:val="00FD34EA"/>
    <w:rsid w:val="00FE3F3E"/>
    <w:rsid w:val="00FE4D52"/>
    <w:rsid w:val="00FE5AEE"/>
    <w:rsid w:val="00FF106B"/>
    <w:rsid w:val="38DD9B75"/>
    <w:rsid w:val="536254B8"/>
    <w:rsid w:val="6EB7A09E"/>
    <w:rsid w:val="70E341D6"/>
    <w:rsid w:val="73226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7">
    <w:name w:val="heading 7"/>
    <w:basedOn w:val="Normal"/>
    <w:next w:val="Normal"/>
    <w:link w:val="Heading7Char"/>
    <w:uiPriority w:val="9"/>
    <w:semiHidden/>
    <w:unhideWhenUsed/>
    <w:qFormat/>
    <w:rsid w:val="0041424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1424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E36286"/>
    <w:rPr>
      <w:sz w:val="16"/>
      <w:szCs w:val="16"/>
    </w:rPr>
  </w:style>
  <w:style w:type="paragraph" w:styleId="CommentSubject">
    <w:name w:val="annotation subject"/>
    <w:basedOn w:val="CommentText"/>
    <w:next w:val="CommentText"/>
    <w:link w:val="CommentSubjectChar"/>
    <w:uiPriority w:val="99"/>
    <w:semiHidden/>
    <w:unhideWhenUsed/>
    <w:rsid w:val="00E36286"/>
    <w:rPr>
      <w:b/>
      <w:bCs/>
    </w:rPr>
  </w:style>
  <w:style w:type="character" w:customStyle="1" w:styleId="CommentTextChar">
    <w:name w:val="Comment Text Char"/>
    <w:basedOn w:val="DefaultParagraphFont"/>
    <w:link w:val="CommentText"/>
    <w:semiHidden/>
    <w:rsid w:val="00E36286"/>
    <w:rPr>
      <w:rFonts w:ascii="Arial" w:hAnsi="Arial"/>
    </w:rPr>
  </w:style>
  <w:style w:type="character" w:customStyle="1" w:styleId="CommentSubjectChar">
    <w:name w:val="Comment Subject Char"/>
    <w:basedOn w:val="CommentTextChar"/>
    <w:link w:val="CommentSubject"/>
    <w:uiPriority w:val="99"/>
    <w:semiHidden/>
    <w:rsid w:val="00E36286"/>
    <w:rPr>
      <w:rFonts w:ascii="Arial" w:hAnsi="Arial"/>
      <w:b/>
      <w:bCs/>
    </w:rPr>
  </w:style>
  <w:style w:type="paragraph" w:styleId="Revision">
    <w:name w:val="Revision"/>
    <w:hidden/>
    <w:uiPriority w:val="99"/>
    <w:semiHidden/>
    <w:rsid w:val="00091BA2"/>
    <w:rPr>
      <w:rFonts w:ascii="Arial" w:hAnsi="Arial"/>
      <w:szCs w:val="24"/>
    </w:rPr>
  </w:style>
  <w:style w:type="character" w:styleId="BookTitle">
    <w:name w:val="Book Title"/>
    <w:basedOn w:val="DefaultParagraphFont"/>
    <w:uiPriority w:val="33"/>
    <w:qFormat/>
    <w:rsid w:val="0041424D"/>
    <w:rPr>
      <w:b/>
      <w:bCs/>
      <w:i/>
      <w:iCs/>
      <w:spacing w:val="5"/>
    </w:rPr>
  </w:style>
  <w:style w:type="paragraph" w:styleId="Caption">
    <w:name w:val="caption"/>
    <w:basedOn w:val="Normal"/>
    <w:next w:val="Normal"/>
    <w:uiPriority w:val="35"/>
    <w:semiHidden/>
    <w:unhideWhenUsed/>
    <w:qFormat/>
    <w:rsid w:val="0041424D"/>
    <w:pPr>
      <w:spacing w:after="200"/>
    </w:pPr>
    <w:rPr>
      <w:i/>
      <w:iCs/>
      <w:color w:val="1F497D" w:themeColor="text2"/>
      <w:sz w:val="18"/>
      <w:szCs w:val="18"/>
    </w:rPr>
  </w:style>
  <w:style w:type="character" w:customStyle="1" w:styleId="Heading7Char">
    <w:name w:val="Heading 7 Char"/>
    <w:basedOn w:val="DefaultParagraphFont"/>
    <w:link w:val="Heading7"/>
    <w:uiPriority w:val="9"/>
    <w:semiHidden/>
    <w:rsid w:val="0041424D"/>
    <w:rPr>
      <w:rFonts w:asciiTheme="majorHAnsi" w:eastAsiaTheme="majorEastAsia" w:hAnsiTheme="majorHAnsi" w:cstheme="majorBidi"/>
      <w:i/>
      <w:iCs/>
      <w:color w:val="243F60" w:themeColor="accent1" w:themeShade="7F"/>
      <w:szCs w:val="24"/>
    </w:rPr>
  </w:style>
  <w:style w:type="character" w:customStyle="1" w:styleId="Heading8Char">
    <w:name w:val="Heading 8 Char"/>
    <w:basedOn w:val="DefaultParagraphFont"/>
    <w:link w:val="Heading8"/>
    <w:uiPriority w:val="9"/>
    <w:semiHidden/>
    <w:rsid w:val="0041424D"/>
    <w:rPr>
      <w:rFonts w:asciiTheme="majorHAnsi" w:eastAsiaTheme="majorEastAsia" w:hAnsiTheme="majorHAnsi" w:cstheme="majorBidi"/>
      <w:color w:val="272727" w:themeColor="text1" w:themeTint="D8"/>
      <w:sz w:val="21"/>
      <w:szCs w:val="21"/>
    </w:rPr>
  </w:style>
  <w:style w:type="character" w:styleId="IntenseEmphasis">
    <w:name w:val="Intense Emphasis"/>
    <w:basedOn w:val="DefaultParagraphFont"/>
    <w:uiPriority w:val="21"/>
    <w:qFormat/>
    <w:rsid w:val="0041424D"/>
    <w:rPr>
      <w:i/>
      <w:iCs/>
      <w:color w:val="4F81BD" w:themeColor="accent1"/>
    </w:rPr>
  </w:style>
  <w:style w:type="paragraph" w:styleId="IntenseQuote">
    <w:name w:val="Intense Quote"/>
    <w:basedOn w:val="Normal"/>
    <w:next w:val="Normal"/>
    <w:link w:val="IntenseQuoteChar"/>
    <w:uiPriority w:val="30"/>
    <w:qFormat/>
    <w:rsid w:val="0041424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1424D"/>
    <w:rPr>
      <w:rFonts w:ascii="Arial" w:hAnsi="Arial"/>
      <w:i/>
      <w:iCs/>
      <w:color w:val="4F81BD" w:themeColor="accent1"/>
      <w:szCs w:val="24"/>
    </w:rPr>
  </w:style>
  <w:style w:type="character" w:styleId="IntenseReference">
    <w:name w:val="Intense Reference"/>
    <w:basedOn w:val="DefaultParagraphFont"/>
    <w:uiPriority w:val="32"/>
    <w:qFormat/>
    <w:rsid w:val="0041424D"/>
    <w:rPr>
      <w:b/>
      <w:bCs/>
      <w:smallCaps/>
      <w:color w:val="4F81BD" w:themeColor="accent1"/>
      <w:spacing w:val="5"/>
    </w:rPr>
  </w:style>
  <w:style w:type="paragraph" w:styleId="Quote">
    <w:name w:val="Quote"/>
    <w:basedOn w:val="Normal"/>
    <w:next w:val="Normal"/>
    <w:link w:val="QuoteChar"/>
    <w:uiPriority w:val="29"/>
    <w:qFormat/>
    <w:rsid w:val="0041424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1424D"/>
    <w:rPr>
      <w:rFonts w:ascii="Arial" w:hAnsi="Arial"/>
      <w:i/>
      <w:iCs/>
      <w:color w:val="404040" w:themeColor="text1" w:themeTint="BF"/>
      <w:szCs w:val="24"/>
    </w:rPr>
  </w:style>
  <w:style w:type="character" w:styleId="Strong">
    <w:name w:val="Strong"/>
    <w:basedOn w:val="DefaultParagraphFont"/>
    <w:uiPriority w:val="22"/>
    <w:qFormat/>
    <w:rsid w:val="0041424D"/>
    <w:rPr>
      <w:b/>
      <w:bCs/>
    </w:rPr>
  </w:style>
  <w:style w:type="paragraph" w:styleId="Subtitle">
    <w:name w:val="Subtitle"/>
    <w:basedOn w:val="Normal"/>
    <w:next w:val="Normal"/>
    <w:link w:val="SubtitleChar"/>
    <w:uiPriority w:val="11"/>
    <w:qFormat/>
    <w:rsid w:val="0041424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1424D"/>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1424D"/>
    <w:rPr>
      <w:i/>
      <w:iCs/>
      <w:color w:val="404040" w:themeColor="text1" w:themeTint="BF"/>
    </w:rPr>
  </w:style>
  <w:style w:type="character" w:styleId="SubtleReference">
    <w:name w:val="Subtle Reference"/>
    <w:basedOn w:val="DefaultParagraphFont"/>
    <w:uiPriority w:val="31"/>
    <w:qFormat/>
    <w:rsid w:val="0041424D"/>
    <w:rPr>
      <w:smallCaps/>
      <w:color w:val="5A5A5A" w:themeColor="text1" w:themeTint="A5"/>
    </w:rPr>
  </w:style>
  <w:style w:type="paragraph" w:styleId="TOCHeading">
    <w:name w:val="TOC Heading"/>
    <w:basedOn w:val="Heading1"/>
    <w:next w:val="Normal"/>
    <w:uiPriority w:val="39"/>
    <w:semiHidden/>
    <w:unhideWhenUsed/>
    <w:qFormat/>
    <w:rsid w:val="0041424D"/>
    <w:pPr>
      <w:keepNext/>
      <w:keepLines/>
      <w:suppressAutoHyphens w:val="0"/>
      <w:spacing w:before="240" w:after="0" w:line="240" w:lineRule="auto"/>
      <w:jc w:val="left"/>
      <w:outlineLvl w:val="9"/>
    </w:pPr>
    <w:rPr>
      <w:rFonts w:asciiTheme="majorHAnsi" w:eastAsiaTheme="majorEastAsia" w:hAnsiTheme="majorHAnsi" w:cstheme="majorBidi"/>
      <w:b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BB1EB-F4C5-49F8-BD01-4FB95C7D7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2924</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Multiple Sclerosis Agents, Injectable PDL Edit</vt:lpstr>
    </vt:vector>
  </TitlesOfParts>
  <Company>DSS</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Multiple Sclerosis Agents, Injectable PDL Edit</dc:title>
  <dc:creator>DMS</dc:creator>
  <cp:lastModifiedBy>Hammond, Chelsea</cp:lastModifiedBy>
  <cp:revision>2</cp:revision>
  <cp:lastPrinted>2018-10-31T20:17:00Z</cp:lastPrinted>
  <dcterms:created xsi:type="dcterms:W3CDTF">2026-09-23T16:53:00Z</dcterms:created>
  <dcterms:modified xsi:type="dcterms:W3CDTF">2026-09-23T16:53:00Z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222d6148-636d-495d-84ae-df2320096291</vt:lpwstr>
  </property>
</Properties>
</file>