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AFA3261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5B150A" w:rsidRPr="005B150A">
        <w:rPr>
          <w:b w:val="0"/>
          <w:bCs/>
        </w:rPr>
        <w:t>Targeted Immune Modulators, Interleukin-6 (IL-6) Receptor Inhibitors PDL Edit</w:t>
      </w:r>
    </w:p>
    <w:p w14:paraId="7AD7FFCE" w14:textId="16731374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493111" w:rsidRPr="00493111">
        <w:rPr>
          <w:b w:val="0"/>
          <w:bCs/>
        </w:rPr>
        <w:t>January 22, 2004</w:t>
      </w:r>
    </w:p>
    <w:p w14:paraId="4B7D760D" w14:textId="5D1815DB" w:rsidR="004C5767" w:rsidRPr="00057F84" w:rsidRDefault="00C761F4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</w:t>
      </w:r>
      <w:r w:rsidR="00BD4DC4" w:rsidRPr="00BD4DC4">
        <w:rPr>
          <w:b w:val="0"/>
          <w:bCs/>
        </w:rPr>
        <w:t xml:space="preserve"> 1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4D39AD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192F85">
        <w:t>Criteria Status:</w:t>
      </w:r>
      <w:r w:rsidR="00192F85" w:rsidRPr="00192F85">
        <w:t xml:space="preserve"> </w:t>
      </w:r>
      <w:r w:rsidR="00566BE4" w:rsidRPr="00192F85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6530F48" w14:textId="384AF162" w:rsidR="0027604B" w:rsidRPr="0027604B" w:rsidRDefault="0097519F" w:rsidP="00CB566A">
      <w:pPr>
        <w:pStyle w:val="Header"/>
        <w:tabs>
          <w:tab w:val="clear" w:pos="4320"/>
          <w:tab w:val="clear" w:pos="8640"/>
        </w:tabs>
        <w:rPr>
          <w:rFonts w:eastAsia="Arial"/>
          <w:sz w:val="20"/>
        </w:rPr>
      </w:pPr>
      <w:r w:rsidRPr="000D61E6">
        <w:rPr>
          <w:rFonts w:cs="Arial"/>
          <w:spacing w:val="-3"/>
          <w:sz w:val="20"/>
        </w:rPr>
        <w:t>Actemra</w:t>
      </w:r>
      <w:r w:rsidRPr="000D61E6">
        <w:rPr>
          <w:rFonts w:cs="Arial"/>
          <w:spacing w:val="-3"/>
          <w:sz w:val="20"/>
          <w:vertAlign w:val="superscript"/>
        </w:rPr>
        <w:t xml:space="preserve"> </w:t>
      </w:r>
      <w:r w:rsidRPr="000D61E6">
        <w:rPr>
          <w:rFonts w:cs="Arial"/>
          <w:spacing w:val="-3"/>
          <w:sz w:val="20"/>
        </w:rPr>
        <w:t>(tocilizumab)</w:t>
      </w:r>
      <w:r w:rsidR="005F0016">
        <w:rPr>
          <w:rFonts w:cs="Arial"/>
          <w:spacing w:val="-3"/>
          <w:sz w:val="20"/>
        </w:rPr>
        <w:t xml:space="preserve">, </w:t>
      </w:r>
      <w:r w:rsidRPr="000D61E6">
        <w:rPr>
          <w:rFonts w:cs="Arial"/>
          <w:spacing w:val="-3"/>
          <w:sz w:val="20"/>
        </w:rPr>
        <w:t>Kevzara (sarilumab),</w:t>
      </w:r>
      <w:r w:rsidR="005F0016" w:rsidRPr="005F0016">
        <w:t xml:space="preserve"> </w:t>
      </w:r>
      <w:r w:rsidR="005F0016">
        <w:t xml:space="preserve">and </w:t>
      </w:r>
      <w:proofErr w:type="spellStart"/>
      <w:r w:rsidR="005F0016" w:rsidRPr="005F0016">
        <w:rPr>
          <w:rFonts w:cs="Arial"/>
          <w:spacing w:val="-3"/>
          <w:sz w:val="20"/>
        </w:rPr>
        <w:t>Enspryng</w:t>
      </w:r>
      <w:proofErr w:type="spellEnd"/>
      <w:r w:rsidR="005F0016" w:rsidRPr="005F0016">
        <w:rPr>
          <w:rFonts w:cs="Arial"/>
          <w:spacing w:val="-3"/>
          <w:sz w:val="20"/>
        </w:rPr>
        <w:t xml:space="preserve"> (</w:t>
      </w:r>
      <w:proofErr w:type="spellStart"/>
      <w:r w:rsidR="005F0016" w:rsidRPr="005F0016">
        <w:rPr>
          <w:rFonts w:cs="Arial"/>
          <w:spacing w:val="-3"/>
          <w:sz w:val="20"/>
        </w:rPr>
        <w:t>satralizumab-mwge</w:t>
      </w:r>
      <w:proofErr w:type="spellEnd"/>
      <w:r w:rsidR="005F0016" w:rsidRPr="005F0016">
        <w:rPr>
          <w:rFonts w:cs="Arial"/>
          <w:spacing w:val="-3"/>
          <w:sz w:val="20"/>
        </w:rPr>
        <w:t>)</w:t>
      </w:r>
      <w:r w:rsidR="005F0016">
        <w:rPr>
          <w:rFonts w:cs="Arial"/>
          <w:spacing w:val="-3"/>
          <w:sz w:val="20"/>
        </w:rPr>
        <w:t xml:space="preserve"> </w:t>
      </w:r>
      <w:r w:rsidRPr="000D61E6">
        <w:rPr>
          <w:rFonts w:cs="Arial"/>
          <w:spacing w:val="-3"/>
          <w:sz w:val="20"/>
        </w:rPr>
        <w:t>are interleukin-6 (IL-6) receptor antagonists which inhibit endogenous IL-6 thereby initiating a variety of immunological responses. Inhibition of IL-6 decreases cytokine and acute phase reactant production. Actemra</w:t>
      </w:r>
      <w:r w:rsidR="003D0356">
        <w:rPr>
          <w:rFonts w:cs="Arial"/>
          <w:spacing w:val="-3"/>
          <w:sz w:val="20"/>
        </w:rPr>
        <w:t xml:space="preserve">, along with its biosimilars, </w:t>
      </w:r>
      <w:r w:rsidRPr="000D61E6">
        <w:rPr>
          <w:rFonts w:cs="Arial"/>
          <w:spacing w:val="-3"/>
          <w:sz w:val="20"/>
        </w:rPr>
        <w:t>is FDA approved to treat moderate to severe rheumatoid arthritis (RA), polyarticular and systemic juvenile idiopathic arthritis (</w:t>
      </w:r>
      <w:proofErr w:type="spellStart"/>
      <w:r w:rsidRPr="000D61E6">
        <w:rPr>
          <w:rFonts w:cs="Arial"/>
          <w:spacing w:val="-3"/>
          <w:sz w:val="20"/>
        </w:rPr>
        <w:t>pJIA</w:t>
      </w:r>
      <w:proofErr w:type="spellEnd"/>
      <w:r w:rsidRPr="000D61E6">
        <w:rPr>
          <w:rFonts w:cs="Arial"/>
          <w:spacing w:val="-3"/>
          <w:sz w:val="20"/>
        </w:rPr>
        <w:t xml:space="preserve"> and </w:t>
      </w:r>
      <w:proofErr w:type="spellStart"/>
      <w:r w:rsidRPr="000D61E6">
        <w:rPr>
          <w:rFonts w:cs="Arial"/>
          <w:spacing w:val="-3"/>
          <w:sz w:val="20"/>
        </w:rPr>
        <w:t>sJIA</w:t>
      </w:r>
      <w:proofErr w:type="spellEnd"/>
      <w:r w:rsidRPr="000D61E6">
        <w:rPr>
          <w:rFonts w:cs="Arial"/>
          <w:spacing w:val="-3"/>
          <w:sz w:val="20"/>
        </w:rPr>
        <w:t>), giant cell arteritis (GCA or temporal arteritis), systemic sclerosis-associated interstitial lung disease (</w:t>
      </w:r>
      <w:proofErr w:type="spellStart"/>
      <w:r w:rsidRPr="000D61E6">
        <w:rPr>
          <w:rFonts w:cs="Arial"/>
          <w:spacing w:val="-3"/>
          <w:sz w:val="20"/>
        </w:rPr>
        <w:t>SSc</w:t>
      </w:r>
      <w:proofErr w:type="spellEnd"/>
      <w:r w:rsidRPr="000D61E6">
        <w:rPr>
          <w:rFonts w:cs="Arial"/>
          <w:spacing w:val="-3"/>
          <w:sz w:val="20"/>
        </w:rPr>
        <w:t>-ILD), cytokine release syndrome (CRS), and coronavirus disease 2019 (COVID-19). Kevzara</w:t>
      </w:r>
      <w:r w:rsidRPr="000D61E6">
        <w:rPr>
          <w:rFonts w:cs="Arial"/>
          <w:spacing w:val="-3"/>
          <w:sz w:val="20"/>
          <w:vertAlign w:val="superscript"/>
        </w:rPr>
        <w:t xml:space="preserve"> </w:t>
      </w:r>
      <w:r w:rsidRPr="000D61E6">
        <w:rPr>
          <w:rFonts w:cs="Arial"/>
          <w:spacing w:val="-3"/>
          <w:sz w:val="20"/>
        </w:rPr>
        <w:t>is indicated for</w:t>
      </w:r>
      <w:r>
        <w:rPr>
          <w:rFonts w:cs="Arial"/>
          <w:spacing w:val="-3"/>
          <w:sz w:val="20"/>
        </w:rPr>
        <w:t xml:space="preserve"> active</w:t>
      </w:r>
      <w:r w:rsidRPr="000D61E6">
        <w:rPr>
          <w:rFonts w:cs="Arial"/>
          <w:spacing w:val="-3"/>
          <w:sz w:val="20"/>
        </w:rPr>
        <w:t xml:space="preserve"> </w:t>
      </w:r>
      <w:proofErr w:type="spellStart"/>
      <w:r>
        <w:rPr>
          <w:rFonts w:cs="Arial"/>
          <w:spacing w:val="-3"/>
          <w:sz w:val="20"/>
        </w:rPr>
        <w:t>pJIA</w:t>
      </w:r>
      <w:proofErr w:type="spellEnd"/>
      <w:r>
        <w:rPr>
          <w:rFonts w:cs="Arial"/>
          <w:spacing w:val="-3"/>
          <w:sz w:val="20"/>
        </w:rPr>
        <w:t xml:space="preserve">, </w:t>
      </w:r>
      <w:r w:rsidRPr="000D61E6">
        <w:rPr>
          <w:rFonts w:cs="Arial"/>
          <w:spacing w:val="-3"/>
          <w:sz w:val="20"/>
        </w:rPr>
        <w:t>the treatment of adults with moderate to severe RA who have had an inadequate response or intolerance to 1 or more disease-modifying antirheumatic drugs (DMARDs)</w:t>
      </w:r>
      <w:r>
        <w:rPr>
          <w:rFonts w:cs="Arial"/>
          <w:spacing w:val="-3"/>
          <w:sz w:val="20"/>
        </w:rPr>
        <w:t>,</w:t>
      </w:r>
      <w:r w:rsidRPr="000D61E6">
        <w:rPr>
          <w:rFonts w:cs="Arial"/>
          <w:spacing w:val="-3"/>
          <w:sz w:val="20"/>
        </w:rPr>
        <w:t xml:space="preserve"> and to treat adults with polymyalgia rheumatica (PMR) who have had an inadequate response to corticosteroids or who cannot tolerate corticosteroid taper.</w:t>
      </w:r>
      <w:r w:rsidR="00CB566A">
        <w:rPr>
          <w:rFonts w:cs="Arial"/>
          <w:spacing w:val="-3"/>
          <w:sz w:val="20"/>
        </w:rPr>
        <w:t xml:space="preserve"> </w:t>
      </w:r>
      <w:proofErr w:type="spellStart"/>
      <w:r w:rsidR="0027604B" w:rsidRPr="00232B86">
        <w:rPr>
          <w:rFonts w:eastAsia="Arial"/>
          <w:sz w:val="20"/>
        </w:rPr>
        <w:t>Enspryng</w:t>
      </w:r>
      <w:proofErr w:type="spellEnd"/>
      <w:r w:rsidR="00CB566A">
        <w:rPr>
          <w:rFonts w:eastAsia="Arial"/>
          <w:sz w:val="20"/>
        </w:rPr>
        <w:t xml:space="preserve"> is indicated </w:t>
      </w:r>
      <w:r w:rsidR="0027604B" w:rsidRPr="00232B86">
        <w:rPr>
          <w:rFonts w:eastAsia="Arial"/>
          <w:sz w:val="20"/>
        </w:rPr>
        <w:t xml:space="preserve">for the treatment of NMOSD in adult patients who are anti-AQP4 antibody positive. 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1B21829C" w14:textId="4C859A0A" w:rsidR="00846FA4" w:rsidRPr="001A1084" w:rsidRDefault="001A1084" w:rsidP="00846FA4">
      <w:pPr>
        <w:pStyle w:val="ListParagraph"/>
      </w:pPr>
      <w:proofErr w:type="spellStart"/>
      <w:r w:rsidRPr="001A1084">
        <w:rPr>
          <w:rFonts w:cs="Arial"/>
          <w:spacing w:val="-3"/>
        </w:rPr>
        <w:t>Tyenne</w:t>
      </w:r>
      <w:proofErr w:type="spellEnd"/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522751A4" w14:textId="30EC128F" w:rsidR="00FF6E36" w:rsidRPr="005213C4" w:rsidRDefault="00FF6E36" w:rsidP="00FF6E36">
      <w:pPr>
        <w:pStyle w:val="ListParagraph"/>
        <w:rPr>
          <w:rFonts w:eastAsia="Arial"/>
        </w:rPr>
      </w:pPr>
      <w:r w:rsidRPr="71C8ADA5">
        <w:rPr>
          <w:rFonts w:eastAsia="Arial"/>
        </w:rPr>
        <w:t>Actemra</w:t>
      </w:r>
      <w:r w:rsidRPr="71C8ADA5">
        <w:rPr>
          <w:rFonts w:eastAsia="Arial"/>
          <w:vertAlign w:val="superscript"/>
        </w:rPr>
        <w:t xml:space="preserve"> </w:t>
      </w:r>
      <w:proofErr w:type="spellStart"/>
      <w:r w:rsidRPr="71C8ADA5">
        <w:rPr>
          <w:rFonts w:eastAsia="Arial"/>
        </w:rPr>
        <w:t>ACTPen</w:t>
      </w:r>
      <w:proofErr w:type="spellEnd"/>
      <w:r w:rsidRPr="71C8ADA5">
        <w:rPr>
          <w:rFonts w:eastAsia="Arial"/>
        </w:rPr>
        <w:t>/Syringe/Vial</w:t>
      </w:r>
    </w:p>
    <w:p w14:paraId="6523E94B" w14:textId="6B90B8C3" w:rsidR="5F92D11A" w:rsidRPr="00AC7451" w:rsidRDefault="5F92D11A" w:rsidP="71C8ADA5">
      <w:pPr>
        <w:pStyle w:val="ListParagraph"/>
        <w:rPr>
          <w:rFonts w:eastAsia="Arial"/>
          <w:b/>
          <w:bCs/>
          <w:color w:val="1F497D" w:themeColor="text2"/>
        </w:rPr>
      </w:pPr>
      <w:proofErr w:type="spellStart"/>
      <w:r w:rsidRPr="00AC7451">
        <w:rPr>
          <w:b/>
          <w:bCs/>
          <w:color w:val="1F497D" w:themeColor="text2"/>
        </w:rPr>
        <w:t>Avtozma</w:t>
      </w:r>
      <w:proofErr w:type="spellEnd"/>
    </w:p>
    <w:p w14:paraId="32770654" w14:textId="2A0CEF40" w:rsidR="00F54CBA" w:rsidRPr="00183354" w:rsidRDefault="00F54CBA" w:rsidP="00FF6E36">
      <w:pPr>
        <w:pStyle w:val="ListParagraph"/>
        <w:rPr>
          <w:b/>
          <w:bCs/>
          <w:color w:val="1F497D" w:themeColor="text2"/>
        </w:rPr>
      </w:pPr>
      <w:proofErr w:type="spellStart"/>
      <w:r w:rsidRPr="000C0C21">
        <w:rPr>
          <w:b/>
          <w:bCs/>
          <w:color w:val="1F497D" w:themeColor="text2"/>
        </w:rPr>
        <w:t>Enspryng</w:t>
      </w:r>
      <w:proofErr w:type="spellEnd"/>
    </w:p>
    <w:p w14:paraId="4973F22B" w14:textId="4D433EFE" w:rsidR="00FF6E36" w:rsidRPr="005213C4" w:rsidRDefault="00FF6E36" w:rsidP="00FF6E36">
      <w:pPr>
        <w:pStyle w:val="ListParagraph"/>
      </w:pPr>
      <w:r w:rsidRPr="005213C4">
        <w:t>Kevzara</w:t>
      </w:r>
    </w:p>
    <w:p w14:paraId="079F807A" w14:textId="27D480D3" w:rsidR="00846FA4" w:rsidRPr="00696E3A" w:rsidRDefault="00FF6E36" w:rsidP="00FF6E36">
      <w:pPr>
        <w:pStyle w:val="ListParagraph"/>
      </w:pPr>
      <w:proofErr w:type="spellStart"/>
      <w:r w:rsidRPr="005213C4">
        <w:t>Tofidence</w:t>
      </w:r>
      <w:proofErr w:type="spellEnd"/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282440FE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606BED" w:rsidRPr="00606BED">
        <w:t>Targeted Immune Modulators, Interleukin-6 (IL-6) Receptor Inhibitors</w:t>
      </w:r>
    </w:p>
    <w:p w14:paraId="26CFE8A0" w14:textId="7E5E6E96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84271B" w:rsidRPr="0084271B">
        <w:t xml:space="preserve"> </w:t>
      </w:r>
      <w:r w:rsidR="0084271B" w:rsidRPr="0084271B">
        <w:rPr>
          <w:rFonts w:cs="Arial"/>
        </w:rPr>
        <w:t>aged 18 years or older unless indicated otherwise.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3FAA72AF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75E71B6B" w14:textId="77777777" w:rsidR="00812D1B" w:rsidRPr="001A037E" w:rsidRDefault="00812D1B" w:rsidP="00812D1B">
      <w:pPr>
        <w:pStyle w:val="ListParagraph"/>
        <w:numPr>
          <w:ilvl w:val="0"/>
          <w:numId w:val="23"/>
        </w:numPr>
        <w:spacing w:after="160" w:line="278" w:lineRule="auto"/>
      </w:pPr>
      <w:r w:rsidRPr="001A037E">
        <w:t>Claim is for tocilizumab or sarilumab – must meet one of the following:</w:t>
      </w:r>
    </w:p>
    <w:p w14:paraId="2AFF9490" w14:textId="725245CA" w:rsidR="00906407" w:rsidRDefault="00906407" w:rsidP="00812D1B">
      <w:pPr>
        <w:pStyle w:val="ListParagraph"/>
        <w:numPr>
          <w:ilvl w:val="1"/>
          <w:numId w:val="23"/>
        </w:numPr>
        <w:spacing w:after="160" w:line="278" w:lineRule="auto"/>
        <w:ind w:left="720"/>
      </w:pPr>
      <w:r w:rsidRPr="00906407">
        <w:t>Documented compliance on current therapy regimen</w:t>
      </w:r>
      <w:r w:rsidR="00AE6983">
        <w:t>;</w:t>
      </w:r>
    </w:p>
    <w:p w14:paraId="3E13C8CA" w14:textId="7D5E701A" w:rsidR="00812D1B" w:rsidRPr="001A037E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</w:pPr>
      <w:r w:rsidRPr="001A037E">
        <w:lastRenderedPageBreak/>
        <w:t>Approval criteria for diagnoses of Polymyalgia rheumatica (PMR), Cytokine release syndrome (CRS), Systemic sclerosis-associated interstitial lung disease (</w:t>
      </w:r>
      <w:proofErr w:type="spellStart"/>
      <w:r w:rsidRPr="001A037E">
        <w:t>SSc</w:t>
      </w:r>
      <w:proofErr w:type="spellEnd"/>
      <w:r w:rsidRPr="001A037E">
        <w:t>-ILD), or Giant cell arteritis (GCA):</w:t>
      </w:r>
    </w:p>
    <w:p w14:paraId="180ABD09" w14:textId="3989B2BE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>Documentation of appropriate diagnosis and participant age range for requested agent</w:t>
      </w:r>
      <w:r w:rsidR="00AE6983">
        <w:t>;</w:t>
      </w:r>
    </w:p>
    <w:p w14:paraId="6F02B8F7" w14:textId="77777777" w:rsidR="00812D1B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</w:pPr>
      <w:r w:rsidRPr="001A037E">
        <w:t xml:space="preserve">Approval criteria for diagnoses of Rheumatoid arthritis (RA) – must meet </w:t>
      </w:r>
      <w:proofErr w:type="gramStart"/>
      <w:r w:rsidRPr="001A037E">
        <w:t>all of</w:t>
      </w:r>
      <w:proofErr w:type="gramEnd"/>
      <w:r w:rsidRPr="001A037E">
        <w:t xml:space="preserve"> the following:</w:t>
      </w:r>
    </w:p>
    <w:p w14:paraId="567ECC7F" w14:textId="77777777" w:rsidR="00812D1B" w:rsidRPr="001A037E" w:rsidRDefault="00812D1B" w:rsidP="003A704C">
      <w:pPr>
        <w:pStyle w:val="ListParagraph"/>
        <w:numPr>
          <w:ilvl w:val="2"/>
          <w:numId w:val="23"/>
        </w:numPr>
        <w:tabs>
          <w:tab w:val="left" w:pos="1080"/>
        </w:tabs>
        <w:spacing w:after="160" w:line="278" w:lineRule="auto"/>
        <w:ind w:left="1080"/>
      </w:pPr>
      <w:r w:rsidRPr="001A037E">
        <w:t xml:space="preserve">Adequate therapeutic </w:t>
      </w:r>
      <w:proofErr w:type="gramStart"/>
      <w:r w:rsidRPr="001A037E">
        <w:t>6 month</w:t>
      </w:r>
      <w:proofErr w:type="gramEnd"/>
      <w:r w:rsidRPr="001A037E">
        <w:t xml:space="preserve"> trial of tumor necrosis factor (TNF) inhibitor (trial defined as duration of therapy with class not agent);</w:t>
      </w:r>
    </w:p>
    <w:p w14:paraId="59780C36" w14:textId="77777777" w:rsidR="00812D1B" w:rsidRPr="001A037E" w:rsidRDefault="00812D1B" w:rsidP="003A704C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 xml:space="preserve">Documentation of appropriate diagnosis and participant age range for requested agent; </w:t>
      </w:r>
      <w:r w:rsidRPr="00C635E3">
        <w:rPr>
          <w:b/>
          <w:bCs/>
        </w:rPr>
        <w:t>AND</w:t>
      </w:r>
    </w:p>
    <w:p w14:paraId="6D7958EB" w14:textId="77777777" w:rsidR="00812D1B" w:rsidRPr="001A037E" w:rsidRDefault="00812D1B" w:rsidP="003A704C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>Failure to achieve desired therapeutic outcomes with trial on 1 or more preferred agents:</w:t>
      </w:r>
    </w:p>
    <w:p w14:paraId="63551F63" w14:textId="77777777" w:rsidR="00812D1B" w:rsidRPr="001A037E" w:rsidRDefault="00812D1B" w:rsidP="00C635E3">
      <w:pPr>
        <w:pStyle w:val="ListParagraph"/>
        <w:numPr>
          <w:ilvl w:val="3"/>
          <w:numId w:val="23"/>
        </w:numPr>
        <w:spacing w:after="160" w:line="278" w:lineRule="auto"/>
        <w:ind w:left="1440"/>
      </w:pPr>
      <w:r w:rsidRPr="001A037E">
        <w:t xml:space="preserve">Documented trial period of preferred agents; </w:t>
      </w:r>
      <w:r w:rsidRPr="00C635E3">
        <w:rPr>
          <w:b/>
          <w:bCs/>
        </w:rPr>
        <w:t>OR</w:t>
      </w:r>
    </w:p>
    <w:p w14:paraId="53A20815" w14:textId="72D07B9C" w:rsidR="00812D1B" w:rsidRPr="001A037E" w:rsidRDefault="00812D1B" w:rsidP="00C635E3">
      <w:pPr>
        <w:pStyle w:val="ListParagraph"/>
        <w:numPr>
          <w:ilvl w:val="3"/>
          <w:numId w:val="23"/>
        </w:numPr>
        <w:spacing w:after="160" w:line="278" w:lineRule="auto"/>
        <w:ind w:left="1440"/>
      </w:pPr>
      <w:r w:rsidRPr="001A037E">
        <w:t>Documented ADE/ADR to preferred agents</w:t>
      </w:r>
      <w:r w:rsidR="00AE6983">
        <w:t>;</w:t>
      </w:r>
    </w:p>
    <w:p w14:paraId="0A1CF5C8" w14:textId="77777777" w:rsidR="00812D1B" w:rsidRPr="001A037E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</w:pPr>
      <w:r w:rsidRPr="001A037E">
        <w:t>Approval criteria for diagnosis of Polyarticular juvenile idiopathic arthritis (</w:t>
      </w:r>
      <w:proofErr w:type="spellStart"/>
      <w:r w:rsidRPr="001A037E">
        <w:t>pJIA</w:t>
      </w:r>
      <w:proofErr w:type="spellEnd"/>
      <w:r w:rsidRPr="001A037E">
        <w:t>), or Systemic juvenile idiopathic arthritis (</w:t>
      </w:r>
      <w:proofErr w:type="spellStart"/>
      <w:r w:rsidRPr="001A037E">
        <w:t>sJIA</w:t>
      </w:r>
      <w:proofErr w:type="spellEnd"/>
      <w:r w:rsidRPr="001A037E">
        <w:t xml:space="preserve">) – must meet </w:t>
      </w:r>
      <w:proofErr w:type="gramStart"/>
      <w:r w:rsidRPr="001A037E">
        <w:t>all of</w:t>
      </w:r>
      <w:proofErr w:type="gramEnd"/>
      <w:r w:rsidRPr="001A037E">
        <w:t xml:space="preserve"> the following:</w:t>
      </w:r>
    </w:p>
    <w:p w14:paraId="140DBF91" w14:textId="77777777" w:rsidR="00812D1B" w:rsidRPr="00C635E3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  <w:rPr>
          <w:b/>
          <w:bCs/>
          <w:strike/>
          <w:color w:val="1F497D" w:themeColor="text2"/>
        </w:rPr>
      </w:pPr>
      <w:r w:rsidRPr="00C635E3">
        <w:rPr>
          <w:b/>
          <w:bCs/>
          <w:strike/>
          <w:color w:val="1F497D" w:themeColor="text2"/>
        </w:rPr>
        <w:t xml:space="preserve">Adequate therapeutic </w:t>
      </w:r>
      <w:proofErr w:type="gramStart"/>
      <w:r w:rsidRPr="00C635E3">
        <w:rPr>
          <w:b/>
          <w:bCs/>
          <w:strike/>
          <w:color w:val="1F497D" w:themeColor="text2"/>
        </w:rPr>
        <w:t>6 month</w:t>
      </w:r>
      <w:proofErr w:type="gramEnd"/>
      <w:r w:rsidRPr="00C635E3">
        <w:rPr>
          <w:b/>
          <w:bCs/>
          <w:strike/>
          <w:color w:val="1F497D" w:themeColor="text2"/>
        </w:rPr>
        <w:t xml:space="preserve"> trial of tumor necrosis factor (TNF) inhibitor (trial defined as duration of therapy with class not agent);</w:t>
      </w:r>
    </w:p>
    <w:p w14:paraId="6E7AE335" w14:textId="77777777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 xml:space="preserve">Documentation of appropriate diagnosis and participant age range for requested agent; </w:t>
      </w:r>
      <w:r w:rsidRPr="00C635E3">
        <w:rPr>
          <w:b/>
          <w:bCs/>
        </w:rPr>
        <w:t>AND</w:t>
      </w:r>
    </w:p>
    <w:p w14:paraId="7B6B57AB" w14:textId="77777777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>Failure to achieve desired therapeutic outcomes with trial on 1 or more preferred agents:</w:t>
      </w:r>
    </w:p>
    <w:p w14:paraId="600F3F38" w14:textId="77777777" w:rsidR="00812D1B" w:rsidRPr="001A037E" w:rsidRDefault="00812D1B" w:rsidP="00C635E3">
      <w:pPr>
        <w:pStyle w:val="ListParagraph"/>
        <w:numPr>
          <w:ilvl w:val="3"/>
          <w:numId w:val="23"/>
        </w:numPr>
        <w:spacing w:after="160" w:line="278" w:lineRule="auto"/>
        <w:ind w:left="1440"/>
      </w:pPr>
      <w:r w:rsidRPr="001A037E">
        <w:t xml:space="preserve">Documented trial period of preferred agents; </w:t>
      </w:r>
      <w:r w:rsidRPr="00C635E3">
        <w:rPr>
          <w:b/>
          <w:bCs/>
        </w:rPr>
        <w:t>OR</w:t>
      </w:r>
    </w:p>
    <w:p w14:paraId="43F92A2D" w14:textId="12F20AFD" w:rsidR="00812D1B" w:rsidRDefault="00812D1B" w:rsidP="00C635E3">
      <w:pPr>
        <w:pStyle w:val="ListParagraph"/>
        <w:numPr>
          <w:ilvl w:val="3"/>
          <w:numId w:val="23"/>
        </w:numPr>
        <w:spacing w:after="160" w:line="278" w:lineRule="auto"/>
        <w:ind w:left="1440"/>
      </w:pPr>
      <w:r w:rsidRPr="001A037E">
        <w:t>Documented ADE/ADR to preferred agents</w:t>
      </w:r>
      <w:r w:rsidR="001D3A59">
        <w:t xml:space="preserve">; </w:t>
      </w:r>
      <w:r w:rsidR="001D3A59" w:rsidRPr="00C635E3">
        <w:rPr>
          <w:b/>
          <w:bCs/>
        </w:rPr>
        <w:t>OR</w:t>
      </w:r>
    </w:p>
    <w:p w14:paraId="48D3CA3A" w14:textId="77777777" w:rsidR="00812D1B" w:rsidRPr="001A037E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</w:pPr>
      <w:r w:rsidRPr="001A037E">
        <w:t xml:space="preserve">Approval criteria for all other indications – must meet </w:t>
      </w:r>
      <w:proofErr w:type="gramStart"/>
      <w:r w:rsidRPr="001A037E">
        <w:t>all of</w:t>
      </w:r>
      <w:proofErr w:type="gramEnd"/>
      <w:r w:rsidRPr="001A037E">
        <w:t xml:space="preserve"> the following:</w:t>
      </w:r>
    </w:p>
    <w:p w14:paraId="0001F0A9" w14:textId="77777777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 xml:space="preserve">Claim is for tocilizumab; </w:t>
      </w:r>
    </w:p>
    <w:p w14:paraId="657A31D9" w14:textId="77777777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 xml:space="preserve">Clinical Consultant Review for medical necessity; </w:t>
      </w:r>
      <w:r w:rsidRPr="00C635E3">
        <w:rPr>
          <w:b/>
          <w:bCs/>
        </w:rPr>
        <w:t>AND</w:t>
      </w:r>
    </w:p>
    <w:p w14:paraId="1BD7435A" w14:textId="77777777" w:rsidR="00812D1B" w:rsidRPr="001A037E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</w:pPr>
      <w:r w:rsidRPr="001A037E">
        <w:t>Documentation of appropriate diagnosis and participant age range for requested agent.</w:t>
      </w:r>
    </w:p>
    <w:p w14:paraId="2C3F9C27" w14:textId="77777777" w:rsidR="00812D1B" w:rsidRPr="00C635E3" w:rsidRDefault="00812D1B" w:rsidP="00812D1B">
      <w:pPr>
        <w:pStyle w:val="ListParagraph"/>
        <w:numPr>
          <w:ilvl w:val="0"/>
          <w:numId w:val="23"/>
        </w:numPr>
        <w:spacing w:after="160" w:line="278" w:lineRule="auto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 xml:space="preserve">Claim is for </w:t>
      </w:r>
      <w:proofErr w:type="spellStart"/>
      <w:r w:rsidRPr="00C635E3">
        <w:rPr>
          <w:b/>
          <w:bCs/>
          <w:color w:val="1F497D" w:themeColor="text2"/>
        </w:rPr>
        <w:t>Enspryng</w:t>
      </w:r>
      <w:proofErr w:type="spellEnd"/>
      <w:r w:rsidRPr="00C635E3">
        <w:rPr>
          <w:b/>
          <w:bCs/>
          <w:color w:val="1F497D" w:themeColor="text2"/>
        </w:rPr>
        <w:t>:</w:t>
      </w:r>
    </w:p>
    <w:p w14:paraId="1F565073" w14:textId="77777777" w:rsidR="00812D1B" w:rsidRPr="00C635E3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 xml:space="preserve">Initial Therapy – must meet </w:t>
      </w:r>
      <w:proofErr w:type="gramStart"/>
      <w:r w:rsidRPr="00C635E3">
        <w:rPr>
          <w:b/>
          <w:bCs/>
          <w:color w:val="1F497D" w:themeColor="text2"/>
        </w:rPr>
        <w:t>all of</w:t>
      </w:r>
      <w:proofErr w:type="gramEnd"/>
      <w:r w:rsidRPr="00C635E3">
        <w:rPr>
          <w:b/>
          <w:bCs/>
          <w:color w:val="1F497D" w:themeColor="text2"/>
        </w:rPr>
        <w:t xml:space="preserve"> the following:</w:t>
      </w:r>
    </w:p>
    <w:p w14:paraId="4D58FBCE" w14:textId="77777777" w:rsidR="00812D1B" w:rsidRPr="00C635E3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 xml:space="preserve">Documented diagnosis of neuromyelitis </w:t>
      </w:r>
      <w:proofErr w:type="spellStart"/>
      <w:r w:rsidRPr="00C635E3">
        <w:rPr>
          <w:b/>
          <w:bCs/>
          <w:color w:val="1F497D" w:themeColor="text2"/>
        </w:rPr>
        <w:t>optica</w:t>
      </w:r>
      <w:proofErr w:type="spellEnd"/>
      <w:r w:rsidRPr="00C635E3">
        <w:rPr>
          <w:b/>
          <w:bCs/>
          <w:color w:val="1F497D" w:themeColor="text2"/>
        </w:rPr>
        <w:t xml:space="preserve"> spectrum disorder (NMOSD);</w:t>
      </w:r>
    </w:p>
    <w:p w14:paraId="15DC9EAF" w14:textId="77777777" w:rsidR="00AB2141" w:rsidRDefault="00812D1B" w:rsidP="00812D1B">
      <w:pPr>
        <w:pStyle w:val="ListParagraph"/>
        <w:numPr>
          <w:ilvl w:val="2"/>
          <w:numId w:val="23"/>
        </w:numPr>
        <w:spacing w:after="160" w:line="278" w:lineRule="auto"/>
        <w:ind w:left="1080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>Participant is seropositive for anti-aquaporin-4 (AQP4) antibodies;</w:t>
      </w:r>
    </w:p>
    <w:p w14:paraId="69C0F83B" w14:textId="2E10C34E" w:rsidR="00812D1B" w:rsidRPr="00C635E3" w:rsidRDefault="00AB2141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Participant is aged 18 years or older;</w:t>
      </w:r>
      <w:r w:rsidR="00812D1B" w:rsidRPr="00C635E3">
        <w:rPr>
          <w:b/>
          <w:bCs/>
          <w:color w:val="1F497D" w:themeColor="text2"/>
        </w:rPr>
        <w:t xml:space="preserve"> AND</w:t>
      </w:r>
    </w:p>
    <w:p w14:paraId="2AFFECF1" w14:textId="77777777" w:rsidR="00812D1B" w:rsidRPr="00C635E3" w:rsidRDefault="00812D1B" w:rsidP="00C635E3">
      <w:pPr>
        <w:pStyle w:val="ListParagraph"/>
        <w:numPr>
          <w:ilvl w:val="2"/>
          <w:numId w:val="23"/>
        </w:numPr>
        <w:spacing w:after="160" w:line="278" w:lineRule="auto"/>
        <w:ind w:left="1080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>Documented baseline number and frequency of acute attacks.</w:t>
      </w:r>
    </w:p>
    <w:p w14:paraId="3731968B" w14:textId="77777777" w:rsidR="00812D1B" w:rsidRPr="00C635E3" w:rsidRDefault="00812D1B" w:rsidP="00C635E3">
      <w:pPr>
        <w:pStyle w:val="ListParagraph"/>
        <w:numPr>
          <w:ilvl w:val="1"/>
          <w:numId w:val="23"/>
        </w:numPr>
        <w:spacing w:after="160" w:line="278" w:lineRule="auto"/>
        <w:ind w:left="720"/>
        <w:rPr>
          <w:b/>
          <w:bCs/>
          <w:color w:val="1F497D" w:themeColor="text2"/>
        </w:rPr>
      </w:pPr>
      <w:r w:rsidRPr="00C635E3">
        <w:rPr>
          <w:b/>
          <w:bCs/>
          <w:color w:val="1F497D" w:themeColor="text2"/>
        </w:rPr>
        <w:t xml:space="preserve">Continuation of therapy: </w:t>
      </w:r>
    </w:p>
    <w:p w14:paraId="046926CB" w14:textId="285A5723" w:rsidR="00812D1B" w:rsidRPr="00C635E3" w:rsidRDefault="00E15DDD" w:rsidP="00C635E3">
      <w:pPr>
        <w:pStyle w:val="ListParagraph"/>
        <w:numPr>
          <w:ilvl w:val="2"/>
          <w:numId w:val="23"/>
        </w:numPr>
        <w:spacing w:line="278" w:lineRule="auto"/>
        <w:ind w:left="108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D</w:t>
      </w:r>
      <w:r w:rsidR="00812D1B" w:rsidRPr="00C635E3">
        <w:rPr>
          <w:b/>
          <w:bCs/>
          <w:color w:val="1F497D" w:themeColor="text2"/>
        </w:rPr>
        <w:t>ocumentation of decrease or stabilization in number and frequency of flares from baseline.</w:t>
      </w:r>
    </w:p>
    <w:p w14:paraId="46A5E488" w14:textId="77777777" w:rsidR="00556890" w:rsidRPr="006413EC" w:rsidRDefault="00556890" w:rsidP="00C635E3">
      <w:pPr>
        <w:jc w:val="both"/>
        <w:rPr>
          <w:rFonts w:cs="Arial"/>
          <w:szCs w:val="20"/>
        </w:rPr>
      </w:pPr>
    </w:p>
    <w:tbl>
      <w:tblPr>
        <w:tblW w:w="909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2250"/>
        <w:gridCol w:w="1710"/>
        <w:gridCol w:w="5130"/>
      </w:tblGrid>
      <w:tr w:rsidR="000F5F95" w:rsidRPr="00AE20CF" w14:paraId="28CCDB0C" w14:textId="77777777" w:rsidTr="00585CBB">
        <w:trPr>
          <w:trHeight w:val="332"/>
          <w:tblHeader/>
        </w:trPr>
        <w:tc>
          <w:tcPr>
            <w:tcW w:w="2250" w:type="dxa"/>
            <w:shd w:val="clear" w:color="auto" w:fill="FABF8F" w:themeFill="accent6" w:themeFillTint="99"/>
            <w:vAlign w:val="center"/>
          </w:tcPr>
          <w:p w14:paraId="1BA16500" w14:textId="77777777" w:rsidR="000F5F95" w:rsidRPr="00AE20CF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Reference Product</w:t>
            </w:r>
          </w:p>
        </w:tc>
        <w:tc>
          <w:tcPr>
            <w:tcW w:w="1710" w:type="dxa"/>
            <w:shd w:val="clear" w:color="auto" w:fill="FABF8F" w:themeFill="accent6" w:themeFillTint="99"/>
            <w:vAlign w:val="center"/>
          </w:tcPr>
          <w:p w14:paraId="19AC74AA" w14:textId="77777777" w:rsidR="000F5F95" w:rsidRPr="00AE20CF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Biosimilars</w:t>
            </w:r>
          </w:p>
        </w:tc>
        <w:tc>
          <w:tcPr>
            <w:tcW w:w="5130" w:type="dxa"/>
            <w:shd w:val="clear" w:color="auto" w:fill="FABF8F" w:themeFill="accent6" w:themeFillTint="99"/>
            <w:vAlign w:val="center"/>
            <w:hideMark/>
          </w:tcPr>
          <w:p w14:paraId="08045210" w14:textId="77777777" w:rsidR="000F5F95" w:rsidRPr="00AE20CF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szCs w:val="20"/>
              </w:rPr>
            </w:pPr>
            <w:r w:rsidRPr="00AE20CF">
              <w:rPr>
                <w:rFonts w:cs="Arial"/>
                <w:b/>
                <w:szCs w:val="20"/>
              </w:rPr>
              <w:t>Indication</w:t>
            </w:r>
            <w:r>
              <w:rPr>
                <w:rFonts w:cs="Arial"/>
                <w:b/>
                <w:szCs w:val="20"/>
              </w:rPr>
              <w:t>s for Reference Product</w:t>
            </w:r>
          </w:p>
        </w:tc>
      </w:tr>
      <w:tr w:rsidR="000F5F95" w:rsidRPr="00AE20CF" w14:paraId="2B265AF0" w14:textId="77777777" w:rsidTr="00585CBB">
        <w:trPr>
          <w:trHeight w:val="287"/>
        </w:trPr>
        <w:tc>
          <w:tcPr>
            <w:tcW w:w="2250" w:type="dxa"/>
            <w:vAlign w:val="center"/>
          </w:tcPr>
          <w:p w14:paraId="55FC2DC8" w14:textId="77777777" w:rsidR="000F5F95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</w:rPr>
            </w:pPr>
            <w:r w:rsidRPr="00AE20CF">
              <w:rPr>
                <w:rFonts w:cs="Arial"/>
                <w:szCs w:val="20"/>
              </w:rPr>
              <w:t>Kevzara</w:t>
            </w:r>
            <w:r w:rsidRPr="00AE20CF">
              <w:rPr>
                <w:rFonts w:ascii="Symbol" w:eastAsia="Symbol" w:hAnsi="Symbol" w:cs="Symbol"/>
                <w:szCs w:val="20"/>
                <w:vertAlign w:val="superscript"/>
              </w:rPr>
              <w:t>â</w:t>
            </w:r>
          </w:p>
          <w:p w14:paraId="46752401" w14:textId="77777777" w:rsidR="000F5F95" w:rsidRPr="00AE20CF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(s</w:t>
            </w:r>
            <w:r w:rsidRPr="00AE20CF">
              <w:rPr>
                <w:rFonts w:cs="Arial"/>
                <w:szCs w:val="20"/>
              </w:rPr>
              <w:t>arilumab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1710" w:type="dxa"/>
            <w:vAlign w:val="center"/>
          </w:tcPr>
          <w:p w14:paraId="16F305BE" w14:textId="3AB50199" w:rsidR="000F5F95" w:rsidRPr="005213C4" w:rsidRDefault="002D19EE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5130" w:type="dxa"/>
            <w:vAlign w:val="center"/>
          </w:tcPr>
          <w:p w14:paraId="04301987" w14:textId="77777777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341" w:hanging="28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 xml:space="preserve">Polyarticular juvenile idiopathic arthritis </w:t>
            </w:r>
          </w:p>
          <w:p w14:paraId="444FF8CE" w14:textId="594080E8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511" w:hanging="45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Polymyalgia rheumatica (PMR)</w:t>
            </w:r>
          </w:p>
          <w:p w14:paraId="4B08C97B" w14:textId="77777777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511" w:hanging="45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Rheumatoid arthritis</w:t>
            </w:r>
          </w:p>
        </w:tc>
      </w:tr>
      <w:tr w:rsidR="00D07A63" w:rsidRPr="00094298" w14:paraId="782925A6" w14:textId="77777777" w:rsidTr="00585CBB">
        <w:trPr>
          <w:trHeight w:val="287"/>
        </w:trPr>
        <w:tc>
          <w:tcPr>
            <w:tcW w:w="2250" w:type="dxa"/>
            <w:vAlign w:val="center"/>
          </w:tcPr>
          <w:p w14:paraId="3D0DA81A" w14:textId="57DD3647" w:rsidR="00D07A63" w:rsidRPr="00585CBB" w:rsidRDefault="005522A0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color w:val="1F497D" w:themeColor="text2"/>
                <w:szCs w:val="20"/>
              </w:rPr>
            </w:pPr>
            <w:proofErr w:type="spellStart"/>
            <w:r w:rsidRPr="00585CBB">
              <w:rPr>
                <w:rFonts w:cs="Arial"/>
                <w:b/>
                <w:color w:val="1F497D" w:themeColor="text2"/>
                <w:szCs w:val="20"/>
              </w:rPr>
              <w:t>Enspryng</w:t>
            </w:r>
            <w:proofErr w:type="spellEnd"/>
            <w:r w:rsidRPr="00585CBB">
              <w:rPr>
                <w:rFonts w:cs="Arial"/>
                <w:b/>
                <w:color w:val="1F497D" w:themeColor="text2"/>
                <w:szCs w:val="20"/>
                <w:vertAlign w:val="superscript"/>
              </w:rPr>
              <w:t>®</w:t>
            </w:r>
          </w:p>
          <w:p w14:paraId="06E9B5B6" w14:textId="3AC1CE9B" w:rsidR="005522A0" w:rsidRPr="00585CBB" w:rsidRDefault="005522A0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color w:val="1F497D" w:themeColor="text2"/>
                <w:szCs w:val="20"/>
              </w:rPr>
            </w:pPr>
            <w:r w:rsidRPr="00585CBB">
              <w:rPr>
                <w:rFonts w:cs="Arial"/>
                <w:b/>
                <w:color w:val="1F497D" w:themeColor="text2"/>
                <w:szCs w:val="20"/>
              </w:rPr>
              <w:t>(</w:t>
            </w:r>
            <w:proofErr w:type="spellStart"/>
            <w:r w:rsidRPr="00585CBB">
              <w:rPr>
                <w:rFonts w:cs="Arial"/>
                <w:b/>
                <w:color w:val="1F497D" w:themeColor="text2"/>
                <w:szCs w:val="20"/>
              </w:rPr>
              <w:t>satralizumab</w:t>
            </w:r>
            <w:r w:rsidR="00421CF3" w:rsidRPr="00585CBB">
              <w:rPr>
                <w:rFonts w:cs="Arial"/>
                <w:b/>
                <w:color w:val="1F497D" w:themeColor="text2"/>
                <w:szCs w:val="20"/>
              </w:rPr>
              <w:t>-mwge</w:t>
            </w:r>
            <w:proofErr w:type="spellEnd"/>
            <w:r w:rsidRPr="00585CBB">
              <w:rPr>
                <w:rFonts w:cs="Arial"/>
                <w:b/>
                <w:color w:val="1F497D" w:themeColor="text2"/>
                <w:szCs w:val="20"/>
              </w:rPr>
              <w:t>)</w:t>
            </w:r>
          </w:p>
        </w:tc>
        <w:tc>
          <w:tcPr>
            <w:tcW w:w="1710" w:type="dxa"/>
            <w:vAlign w:val="center"/>
          </w:tcPr>
          <w:p w14:paraId="4EECB57F" w14:textId="5479CB28" w:rsidR="00D07A63" w:rsidRPr="00094298" w:rsidRDefault="002D19EE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color w:val="1F497D" w:themeColor="text2"/>
                <w:szCs w:val="20"/>
              </w:rPr>
            </w:pPr>
            <w:r>
              <w:rPr>
                <w:rFonts w:cs="Arial"/>
                <w:b/>
                <w:color w:val="1F497D" w:themeColor="text2"/>
                <w:szCs w:val="20"/>
              </w:rPr>
              <w:t>-</w:t>
            </w:r>
          </w:p>
        </w:tc>
        <w:tc>
          <w:tcPr>
            <w:tcW w:w="5130" w:type="dxa"/>
            <w:vAlign w:val="center"/>
          </w:tcPr>
          <w:p w14:paraId="69FBB3AF" w14:textId="5AABCAA9" w:rsidR="00D07A63" w:rsidRPr="00E511E8" w:rsidRDefault="005522A0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341" w:hanging="280"/>
              <w:rPr>
                <w:rFonts w:cs="Arial"/>
                <w:b/>
                <w:color w:val="1F497D" w:themeColor="text2"/>
                <w:szCs w:val="20"/>
              </w:rPr>
            </w:pPr>
            <w:r w:rsidRPr="00E511E8">
              <w:rPr>
                <w:rFonts w:cs="Arial"/>
                <w:b/>
                <w:color w:val="1F497D" w:themeColor="text2"/>
                <w:szCs w:val="20"/>
              </w:rPr>
              <w:t xml:space="preserve">Neuromyelitis </w:t>
            </w:r>
            <w:proofErr w:type="spellStart"/>
            <w:r w:rsidRPr="00E511E8">
              <w:rPr>
                <w:rFonts w:cs="Arial"/>
                <w:b/>
                <w:color w:val="1F497D" w:themeColor="text2"/>
                <w:szCs w:val="20"/>
              </w:rPr>
              <w:t>optica</w:t>
            </w:r>
            <w:proofErr w:type="spellEnd"/>
            <w:r w:rsidRPr="00E511E8">
              <w:rPr>
                <w:rFonts w:cs="Arial"/>
                <w:b/>
                <w:color w:val="1F497D" w:themeColor="text2"/>
                <w:szCs w:val="20"/>
              </w:rPr>
              <w:t xml:space="preserve"> spectrum disorder (NMOSD)</w:t>
            </w:r>
          </w:p>
        </w:tc>
      </w:tr>
      <w:tr w:rsidR="000F5F95" w:rsidRPr="00AE20CF" w14:paraId="29809818" w14:textId="77777777" w:rsidTr="00585CBB">
        <w:trPr>
          <w:trHeight w:val="2006"/>
        </w:trPr>
        <w:tc>
          <w:tcPr>
            <w:tcW w:w="2250" w:type="dxa"/>
            <w:vAlign w:val="center"/>
          </w:tcPr>
          <w:p w14:paraId="797B6833" w14:textId="77777777" w:rsidR="000F5F95" w:rsidRPr="008B7D12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  <w:vertAlign w:val="superscript"/>
              </w:rPr>
            </w:pPr>
            <w:r w:rsidRPr="00AE20CF">
              <w:rPr>
                <w:rFonts w:cs="Arial"/>
                <w:szCs w:val="20"/>
              </w:rPr>
              <w:t>Actemra</w:t>
            </w:r>
            <w:r w:rsidRPr="00AE20CF">
              <w:rPr>
                <w:rFonts w:ascii="Symbol" w:eastAsia="Symbol" w:hAnsi="Symbol" w:cs="Symbol"/>
                <w:szCs w:val="20"/>
                <w:vertAlign w:val="superscript"/>
              </w:rPr>
              <w:t>â</w:t>
            </w:r>
          </w:p>
          <w:p w14:paraId="0E596384" w14:textId="77777777" w:rsidR="000F5F95" w:rsidRPr="00AE20CF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(</w:t>
            </w:r>
            <w:proofErr w:type="spellStart"/>
            <w:r>
              <w:rPr>
                <w:rFonts w:cs="Arial"/>
                <w:szCs w:val="20"/>
              </w:rPr>
              <w:t>t</w:t>
            </w:r>
            <w:r w:rsidRPr="00AE20CF">
              <w:rPr>
                <w:rFonts w:cs="Arial"/>
                <w:szCs w:val="20"/>
              </w:rPr>
              <w:t>oclizumab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1710" w:type="dxa"/>
            <w:vAlign w:val="center"/>
          </w:tcPr>
          <w:p w14:paraId="16CE7CB4" w14:textId="42C7F73B" w:rsidR="005058EB" w:rsidRPr="00585CBB" w:rsidRDefault="005058EB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b/>
                <w:bCs/>
                <w:color w:val="1F497D" w:themeColor="text2"/>
                <w:spacing w:val="-3"/>
              </w:rPr>
            </w:pPr>
            <w:proofErr w:type="spellStart"/>
            <w:r w:rsidRPr="00585CBB">
              <w:rPr>
                <w:rFonts w:cs="Arial"/>
                <w:b/>
                <w:bCs/>
                <w:color w:val="1F497D" w:themeColor="text2"/>
                <w:spacing w:val="-3"/>
              </w:rPr>
              <w:t>Avtozma</w:t>
            </w:r>
            <w:proofErr w:type="spellEnd"/>
            <w:r w:rsidRPr="00585CBB">
              <w:rPr>
                <w:rFonts w:cs="Arial"/>
                <w:b/>
                <w:bCs/>
                <w:color w:val="1F497D" w:themeColor="text2"/>
                <w:spacing w:val="-3"/>
                <w:vertAlign w:val="superscript"/>
              </w:rPr>
              <w:t>®</w:t>
            </w:r>
          </w:p>
          <w:p w14:paraId="164B8384" w14:textId="04283D90" w:rsidR="000F5F95" w:rsidRPr="005213C4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pacing w:val="-3"/>
                <w:vertAlign w:val="superscript"/>
              </w:rPr>
            </w:pPr>
            <w:proofErr w:type="spellStart"/>
            <w:r w:rsidRPr="005213C4">
              <w:rPr>
                <w:rFonts w:cs="Arial"/>
                <w:spacing w:val="-3"/>
              </w:rPr>
              <w:t>Tyenne</w:t>
            </w:r>
            <w:proofErr w:type="spellEnd"/>
            <w:r w:rsidRPr="005213C4">
              <w:rPr>
                <w:rFonts w:cs="Arial"/>
                <w:spacing w:val="-3"/>
                <w:vertAlign w:val="superscript"/>
              </w:rPr>
              <w:t>®</w:t>
            </w:r>
          </w:p>
          <w:p w14:paraId="6A011A25" w14:textId="77777777" w:rsidR="000F5F95" w:rsidRPr="005213C4" w:rsidRDefault="000F5F95" w:rsidP="003B5A06">
            <w:pPr>
              <w:tabs>
                <w:tab w:val="center" w:pos="4320"/>
                <w:tab w:val="right" w:pos="8640"/>
              </w:tabs>
              <w:jc w:val="center"/>
              <w:rPr>
                <w:rFonts w:cs="Arial"/>
                <w:szCs w:val="20"/>
              </w:rPr>
            </w:pPr>
            <w:proofErr w:type="spellStart"/>
            <w:r w:rsidRPr="005213C4">
              <w:rPr>
                <w:rFonts w:cs="Arial"/>
                <w:spacing w:val="-3"/>
              </w:rPr>
              <w:t>Tofidence</w:t>
            </w:r>
            <w:proofErr w:type="spellEnd"/>
            <w:r w:rsidRPr="00C635E3">
              <w:rPr>
                <w:rFonts w:cs="Arial"/>
                <w:szCs w:val="20"/>
                <w:vertAlign w:val="superscript"/>
              </w:rPr>
              <w:t>™</w:t>
            </w:r>
          </w:p>
        </w:tc>
        <w:tc>
          <w:tcPr>
            <w:tcW w:w="5130" w:type="dxa"/>
            <w:vAlign w:val="center"/>
          </w:tcPr>
          <w:p w14:paraId="4754EA50" w14:textId="66FA3703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ind w:left="344" w:hanging="27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Coronavirus disease 2019 (COVID-</w:t>
            </w:r>
            <w:proofErr w:type="gramStart"/>
            <w:r w:rsidRPr="00E511E8">
              <w:rPr>
                <w:rFonts w:cs="Arial"/>
                <w:szCs w:val="20"/>
              </w:rPr>
              <w:t>19)*</w:t>
            </w:r>
            <w:proofErr w:type="gramEnd"/>
          </w:p>
          <w:p w14:paraId="1FADD5FB" w14:textId="3368B042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7"/>
              </w:tabs>
              <w:ind w:left="347" w:hanging="286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Cytokine release syndrome (aged 2 or older)</w:t>
            </w:r>
          </w:p>
          <w:p w14:paraId="6AF6CCA2" w14:textId="0935C4E4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434" w:hanging="373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Giant cell arteritis (GCA)</w:t>
            </w:r>
          </w:p>
          <w:p w14:paraId="19154383" w14:textId="77777777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341" w:hanging="28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Polyarticular juvenile idiopathic arthritis (aged 2 or older)</w:t>
            </w:r>
          </w:p>
          <w:p w14:paraId="5FCBB85A" w14:textId="77777777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511" w:hanging="450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 xml:space="preserve">Rheumatoid arthritis </w:t>
            </w:r>
          </w:p>
          <w:p w14:paraId="256C44A4" w14:textId="0766A9E5" w:rsidR="000F5F95" w:rsidRPr="00E511E8" w:rsidRDefault="000F5F95" w:rsidP="000F5F95">
            <w:pPr>
              <w:pStyle w:val="ListParagraph"/>
              <w:numPr>
                <w:ilvl w:val="0"/>
                <w:numId w:val="18"/>
              </w:numPr>
              <w:tabs>
                <w:tab w:val="left" w:pos="345"/>
              </w:tabs>
              <w:ind w:left="347" w:hanging="286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Systemic sclerosis-associated interstitial lung disease (</w:t>
            </w:r>
            <w:proofErr w:type="spellStart"/>
            <w:r w:rsidRPr="00E511E8">
              <w:rPr>
                <w:rFonts w:cs="Arial"/>
                <w:szCs w:val="20"/>
              </w:rPr>
              <w:t>SSc</w:t>
            </w:r>
            <w:proofErr w:type="spellEnd"/>
            <w:r w:rsidRPr="00E511E8">
              <w:rPr>
                <w:rFonts w:cs="Arial"/>
                <w:szCs w:val="20"/>
              </w:rPr>
              <w:t>-ILD)</w:t>
            </w:r>
          </w:p>
          <w:p w14:paraId="0E7B4130" w14:textId="162991DA" w:rsidR="000F5F95" w:rsidRPr="00E511E8" w:rsidRDefault="000F5F95" w:rsidP="00C07141">
            <w:pPr>
              <w:pStyle w:val="ListParagraph"/>
              <w:tabs>
                <w:tab w:val="left" w:pos="345"/>
              </w:tabs>
              <w:ind w:left="345" w:hanging="274"/>
              <w:rPr>
                <w:rFonts w:cs="Arial"/>
                <w:szCs w:val="20"/>
              </w:rPr>
            </w:pPr>
            <w:r w:rsidRPr="00E511E8">
              <w:rPr>
                <w:rFonts w:cs="Arial"/>
                <w:szCs w:val="20"/>
              </w:rPr>
              <w:t>Systemic juvenile idiopathic arthritis (aged 2 or</w:t>
            </w:r>
            <w:r w:rsidR="00521A61">
              <w:rPr>
                <w:rFonts w:cs="Arial"/>
                <w:szCs w:val="20"/>
              </w:rPr>
              <w:t xml:space="preserve"> </w:t>
            </w:r>
            <w:r w:rsidRPr="00E511E8">
              <w:rPr>
                <w:rFonts w:cs="Arial"/>
                <w:szCs w:val="20"/>
              </w:rPr>
              <w:t>older)</w:t>
            </w:r>
          </w:p>
        </w:tc>
      </w:tr>
    </w:tbl>
    <w:p w14:paraId="4CA4BF3C" w14:textId="4044F422" w:rsidR="000F5F95" w:rsidRPr="00C635E3" w:rsidRDefault="000F5F95" w:rsidP="00C635E3">
      <w:pPr>
        <w:ind w:left="720"/>
        <w:rPr>
          <w:rFonts w:cs="Arial"/>
          <w:bCs/>
          <w:i/>
          <w:iCs/>
          <w:noProof/>
          <w:sz w:val="16"/>
          <w:szCs w:val="16"/>
        </w:rPr>
      </w:pPr>
      <w:r w:rsidRPr="00C635E3">
        <w:rPr>
          <w:rFonts w:cs="Arial"/>
          <w:bCs/>
          <w:i/>
          <w:iCs/>
          <w:noProof/>
          <w:sz w:val="16"/>
          <w:szCs w:val="16"/>
        </w:rPr>
        <w:lastRenderedPageBreak/>
        <w:t>*</w:t>
      </w:r>
      <w:r w:rsidRPr="00E50CFB">
        <w:t xml:space="preserve"> </w:t>
      </w:r>
      <w:r w:rsidRPr="00C635E3">
        <w:rPr>
          <w:rFonts w:cs="Arial"/>
          <w:bCs/>
          <w:i/>
          <w:iCs/>
          <w:noProof/>
          <w:sz w:val="16"/>
          <w:szCs w:val="16"/>
        </w:rPr>
        <w:t>When Actemra or its biosimilar products are used for this indication it is not a separately payable service from the inpatient rate and a prior authorization will not be issued.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1DEB7A09" w14:textId="77777777" w:rsidR="00C1525B" w:rsidRDefault="00904D7A" w:rsidP="00C722C9">
      <w:pPr>
        <w:pStyle w:val="ListParagraph"/>
        <w:numPr>
          <w:ilvl w:val="1"/>
          <w:numId w:val="6"/>
        </w:numPr>
      </w:pPr>
      <w:r w:rsidRPr="005328B2">
        <w:t>Any approval criteria are not met</w:t>
      </w:r>
    </w:p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463C5685" w14:textId="77777777" w:rsidR="002F5275" w:rsidRPr="003F2543" w:rsidRDefault="002F5275" w:rsidP="002F5275">
      <w:pPr>
        <w:pStyle w:val="ListParagraph"/>
      </w:pPr>
      <w:r w:rsidRPr="003F2543">
        <w:t>Evidence-Based Medicine and Fiscal Analysis: “IMMUNOLOGIC AGENTS: Targeted Immune Modulators, IL-6 Receptor Inhibitors”, Gainwell Technologies; Last updated May 10, 2025.</w:t>
      </w:r>
    </w:p>
    <w:p w14:paraId="13D00C91" w14:textId="60CCA3AE" w:rsidR="002F5275" w:rsidRPr="009715D8" w:rsidRDefault="002F5275" w:rsidP="002F5275">
      <w:pPr>
        <w:pStyle w:val="ListParagraph"/>
      </w:pPr>
      <w:r w:rsidRPr="009715D8">
        <w:t>Evidence-Based Medicine Analysis: “</w:t>
      </w:r>
      <w:r w:rsidRPr="002571B4">
        <w:t>Targeted Immune Modulators (Biologics – DMARDS [IL-6, TNF, IL-17A Antibody/IL-17 RA &amp; IL-23/IL-12, JAK inhibitors, Lupus, CAPS agents, Select/Other Agents</w:t>
      </w:r>
      <w:r>
        <w:t>]</w:t>
      </w:r>
      <w:r w:rsidRPr="009715D8">
        <w:t xml:space="preserve">)”. UMKC-DIC; </w:t>
      </w:r>
      <w:r w:rsidR="68E2B804">
        <w:t>March</w:t>
      </w:r>
      <w:r>
        <w:t xml:space="preserve"> 202</w:t>
      </w:r>
      <w:r w:rsidR="667AA6FD">
        <w:t>6</w:t>
      </w:r>
      <w:r w:rsidRPr="009715D8">
        <w:t>.</w:t>
      </w:r>
    </w:p>
    <w:p w14:paraId="2F7EC32F" w14:textId="77777777" w:rsidR="002F5275" w:rsidRDefault="002F5275" w:rsidP="002F5275">
      <w:pPr>
        <w:pStyle w:val="ListParagraph"/>
      </w:pPr>
      <w:r>
        <w:t>Actemra [package insert]. South San Francisco, CA: Genentech Inc; September 2024.</w:t>
      </w:r>
    </w:p>
    <w:p w14:paraId="3F73544E" w14:textId="77777777" w:rsidR="002A6F11" w:rsidRPr="006675F9" w:rsidRDefault="002A6F11" w:rsidP="002A6F11">
      <w:pPr>
        <w:pStyle w:val="ListParagraph"/>
        <w:rPr>
          <w:shd w:val="clear" w:color="auto" w:fill="FFFFFF"/>
        </w:rPr>
      </w:pPr>
      <w:proofErr w:type="spellStart"/>
      <w:r w:rsidRPr="006675F9">
        <w:rPr>
          <w:shd w:val="clear" w:color="auto" w:fill="FFFFFF"/>
        </w:rPr>
        <w:t>Enspryng</w:t>
      </w:r>
      <w:proofErr w:type="spellEnd"/>
      <w:r w:rsidRPr="006675F9">
        <w:rPr>
          <w:shd w:val="clear" w:color="auto" w:fill="FFFFFF"/>
          <w:vertAlign w:val="superscript"/>
        </w:rPr>
        <w:t>®</w:t>
      </w:r>
      <w:r w:rsidRPr="006675F9">
        <w:rPr>
          <w:shd w:val="clear" w:color="auto" w:fill="FFFFFF"/>
        </w:rPr>
        <w:t xml:space="preserve"> (</w:t>
      </w:r>
      <w:proofErr w:type="spellStart"/>
      <w:r w:rsidRPr="006675F9">
        <w:rPr>
          <w:shd w:val="clear" w:color="auto" w:fill="FFFFFF"/>
        </w:rPr>
        <w:t>satralizumab-mwge</w:t>
      </w:r>
      <w:proofErr w:type="spellEnd"/>
      <w:r w:rsidRPr="006675F9">
        <w:rPr>
          <w:shd w:val="clear" w:color="auto" w:fill="FFFFFF"/>
        </w:rPr>
        <w:t xml:space="preserve">) [package insert]. San Francisco, CA: Roche, Inc; March 2022. </w:t>
      </w:r>
    </w:p>
    <w:p w14:paraId="2D12B7DE" w14:textId="77777777" w:rsidR="002F5275" w:rsidRDefault="002F5275" w:rsidP="002F5275">
      <w:pPr>
        <w:pStyle w:val="ListParagraph"/>
      </w:pPr>
      <w:r>
        <w:t>Kevzara [package insert]. Bridgewater, NJ: Sanofi Biotechnology; August 2024.</w:t>
      </w:r>
    </w:p>
    <w:p w14:paraId="422498AA" w14:textId="77777777" w:rsidR="002F5275" w:rsidRDefault="002F5275" w:rsidP="002F5275">
      <w:pPr>
        <w:pStyle w:val="ListParagraph"/>
      </w:pPr>
      <w:proofErr w:type="spellStart"/>
      <w:r>
        <w:t>Tofidence</w:t>
      </w:r>
      <w:proofErr w:type="spellEnd"/>
      <w:r>
        <w:t xml:space="preserve"> [package insert]. Cambridge, MA: Biogen MA Inc.; March 2025.</w:t>
      </w:r>
    </w:p>
    <w:p w14:paraId="11018382" w14:textId="77777777" w:rsidR="002F5275" w:rsidRPr="00B82669" w:rsidRDefault="002F5275" w:rsidP="002F5275">
      <w:pPr>
        <w:pStyle w:val="ListParagraph"/>
      </w:pPr>
      <w:proofErr w:type="spellStart"/>
      <w:r>
        <w:t>Tyenne</w:t>
      </w:r>
      <w:proofErr w:type="spellEnd"/>
      <w:r>
        <w:t xml:space="preserve"> [package insert]. Lake Zurich, IL: Fresenius Kabi; February 2025.</w:t>
      </w:r>
    </w:p>
    <w:p w14:paraId="2D7716B2" w14:textId="77777777" w:rsidR="00E03524" w:rsidRDefault="00E03524" w:rsidP="00E03524">
      <w:pPr>
        <w:pStyle w:val="ListParagraph"/>
        <w:rPr>
          <w:shd w:val="clear" w:color="auto" w:fill="FFFFFF"/>
        </w:rPr>
      </w:pPr>
      <w:bookmarkStart w:id="2" w:name="_Hlk34121003"/>
      <w:r w:rsidRPr="006675F9">
        <w:rPr>
          <w:shd w:val="clear" w:color="auto" w:fill="FFFFFF"/>
        </w:rPr>
        <w:t xml:space="preserve">IPD Analytics. New Drug Review: </w:t>
      </w:r>
      <w:proofErr w:type="spellStart"/>
      <w:r w:rsidRPr="006675F9">
        <w:rPr>
          <w:shd w:val="clear" w:color="auto" w:fill="FFFFFF"/>
        </w:rPr>
        <w:t>Enspryng</w:t>
      </w:r>
      <w:proofErr w:type="spellEnd"/>
      <w:r w:rsidRPr="006675F9">
        <w:rPr>
          <w:shd w:val="clear" w:color="auto" w:fill="FFFFFF"/>
        </w:rPr>
        <w:t xml:space="preserve"> (</w:t>
      </w:r>
      <w:proofErr w:type="spellStart"/>
      <w:r w:rsidRPr="006675F9">
        <w:rPr>
          <w:shd w:val="clear" w:color="auto" w:fill="FFFFFF"/>
        </w:rPr>
        <w:t>satralizumab-mwge</w:t>
      </w:r>
      <w:proofErr w:type="spellEnd"/>
      <w:r w:rsidRPr="006675F9">
        <w:rPr>
          <w:shd w:val="clear" w:color="auto" w:fill="FFFFFF"/>
        </w:rPr>
        <w:t xml:space="preserve">).  September 2020. </w:t>
      </w:r>
    </w:p>
    <w:p w14:paraId="021ECC3A" w14:textId="1379EE48" w:rsidR="002F5275" w:rsidRDefault="002F5275" w:rsidP="002F5275">
      <w:pPr>
        <w:pStyle w:val="ListParagraph"/>
      </w:pPr>
      <w:r w:rsidRPr="00BC5635">
        <w:t>USPDI, Micromedex; 202</w:t>
      </w:r>
      <w:r w:rsidR="00E03524">
        <w:t>6</w:t>
      </w:r>
      <w:r w:rsidRPr="00BC5635">
        <w:t xml:space="preserve">. </w:t>
      </w:r>
    </w:p>
    <w:bookmarkEnd w:id="2"/>
    <w:p w14:paraId="3FA1E7DB" w14:textId="4F740D9F" w:rsidR="00777CA4" w:rsidRDefault="002F5275" w:rsidP="00B734D1">
      <w:pPr>
        <w:pStyle w:val="ListParagraph"/>
      </w:pPr>
      <w:r w:rsidRPr="00902AB2">
        <w:t>Clinical Pharmacology [online]. Tampa (FL): Elsevier. 202</w:t>
      </w:r>
      <w:r w:rsidR="00E03524">
        <w:t>6</w:t>
      </w:r>
      <w:r w:rsidRPr="00902AB2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7B571" w14:textId="77777777" w:rsidR="00FE5817" w:rsidRPr="00C02553" w:rsidRDefault="00FE5817" w:rsidP="00AE77DB">
      <w:r w:rsidRPr="00C02553">
        <w:separator/>
      </w:r>
    </w:p>
  </w:endnote>
  <w:endnote w:type="continuationSeparator" w:id="0">
    <w:p w14:paraId="264C4D75" w14:textId="77777777" w:rsidR="00FE5817" w:rsidRPr="00C02553" w:rsidRDefault="00FE5817" w:rsidP="00AE77DB">
      <w:r w:rsidRPr="00C02553">
        <w:continuationSeparator/>
      </w:r>
    </w:p>
  </w:endnote>
  <w:endnote w:type="continuationNotice" w:id="1">
    <w:p w14:paraId="4DA29C7B" w14:textId="77777777" w:rsidR="00FE5817" w:rsidRPr="00C02553" w:rsidRDefault="00FE58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FCAB7" w14:textId="77777777" w:rsidR="00FE5817" w:rsidRPr="00C02553" w:rsidRDefault="00FE5817" w:rsidP="00AE77DB">
      <w:r w:rsidRPr="00C02553">
        <w:separator/>
      </w:r>
    </w:p>
  </w:footnote>
  <w:footnote w:type="continuationSeparator" w:id="0">
    <w:p w14:paraId="251D4DF0" w14:textId="77777777" w:rsidR="00FE5817" w:rsidRPr="00C02553" w:rsidRDefault="00FE5817" w:rsidP="00AE77DB">
      <w:r w:rsidRPr="00C02553">
        <w:continuationSeparator/>
      </w:r>
    </w:p>
  </w:footnote>
  <w:footnote w:type="continuationNotice" w:id="1">
    <w:p w14:paraId="71E134C6" w14:textId="77777777" w:rsidR="00FE5817" w:rsidRPr="00C02553" w:rsidRDefault="00FE58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E55AD09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57DBF4E1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C081D37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5977253"/>
    <w:multiLevelType w:val="hybridMultilevel"/>
    <w:tmpl w:val="B352D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27CF4"/>
    <w:multiLevelType w:val="hybridMultilevel"/>
    <w:tmpl w:val="B7002D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2DD1579"/>
    <w:multiLevelType w:val="hybridMultilevel"/>
    <w:tmpl w:val="0256EB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1075E0"/>
    <w:multiLevelType w:val="hybridMultilevel"/>
    <w:tmpl w:val="01988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C12ECC"/>
    <w:multiLevelType w:val="hybridMultilevel"/>
    <w:tmpl w:val="E78ECE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817EC3"/>
    <w:multiLevelType w:val="hybridMultilevel"/>
    <w:tmpl w:val="D66EC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064CF6"/>
    <w:multiLevelType w:val="hybridMultilevel"/>
    <w:tmpl w:val="CED69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A3442E"/>
    <w:multiLevelType w:val="hybridMultilevel"/>
    <w:tmpl w:val="5D0A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2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9"/>
  </w:num>
  <w:num w:numId="13" w16cid:durableId="604729665">
    <w:abstractNumId w:val="6"/>
  </w:num>
  <w:num w:numId="14" w16cid:durableId="1805081292">
    <w:abstractNumId w:val="16"/>
  </w:num>
  <w:num w:numId="15" w16cid:durableId="1506048966">
    <w:abstractNumId w:val="12"/>
  </w:num>
  <w:num w:numId="16" w16cid:durableId="1959558205">
    <w:abstractNumId w:val="10"/>
  </w:num>
  <w:num w:numId="17" w16cid:durableId="1415735822">
    <w:abstractNumId w:val="15"/>
  </w:num>
  <w:num w:numId="18" w16cid:durableId="2042894466">
    <w:abstractNumId w:val="21"/>
  </w:num>
  <w:num w:numId="19" w16cid:durableId="1793592194">
    <w:abstractNumId w:val="18"/>
  </w:num>
  <w:num w:numId="20" w16cid:durableId="245579271">
    <w:abstractNumId w:val="14"/>
  </w:num>
  <w:num w:numId="21" w16cid:durableId="1627617693">
    <w:abstractNumId w:val="20"/>
  </w:num>
  <w:num w:numId="22" w16cid:durableId="580650095">
    <w:abstractNumId w:val="5"/>
  </w:num>
  <w:num w:numId="23" w16cid:durableId="535199226">
    <w:abstractNumId w:val="11"/>
  </w:num>
  <w:num w:numId="24" w16cid:durableId="85813080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bKsZXD0BCMEz4e8VoBlwNuPCpWduh49wBzaocz+fGw88h6E/AyaDjSPUzoffO5HH7mW4hXh0xrWK8IFfjGRc/Q==" w:salt="EZ1H0RiQNUS8M3b+UR79o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276D9"/>
    <w:rsid w:val="000344C5"/>
    <w:rsid w:val="00040AD3"/>
    <w:rsid w:val="00044067"/>
    <w:rsid w:val="00053807"/>
    <w:rsid w:val="000572E5"/>
    <w:rsid w:val="00057F84"/>
    <w:rsid w:val="00061541"/>
    <w:rsid w:val="00064162"/>
    <w:rsid w:val="00065C22"/>
    <w:rsid w:val="00066885"/>
    <w:rsid w:val="00074464"/>
    <w:rsid w:val="00076030"/>
    <w:rsid w:val="00082590"/>
    <w:rsid w:val="000913C3"/>
    <w:rsid w:val="00094298"/>
    <w:rsid w:val="000953B9"/>
    <w:rsid w:val="000A413B"/>
    <w:rsid w:val="000A6279"/>
    <w:rsid w:val="000B496B"/>
    <w:rsid w:val="000C0C21"/>
    <w:rsid w:val="000C3940"/>
    <w:rsid w:val="000C5992"/>
    <w:rsid w:val="000E1479"/>
    <w:rsid w:val="000E21CC"/>
    <w:rsid w:val="000E231E"/>
    <w:rsid w:val="000E247D"/>
    <w:rsid w:val="000E6B14"/>
    <w:rsid w:val="000E70D8"/>
    <w:rsid w:val="000F5F95"/>
    <w:rsid w:val="001062F6"/>
    <w:rsid w:val="0010672E"/>
    <w:rsid w:val="00112FC7"/>
    <w:rsid w:val="001167DD"/>
    <w:rsid w:val="00125F5F"/>
    <w:rsid w:val="00126951"/>
    <w:rsid w:val="00126B60"/>
    <w:rsid w:val="001273EB"/>
    <w:rsid w:val="00127EF6"/>
    <w:rsid w:val="001310AD"/>
    <w:rsid w:val="001314A5"/>
    <w:rsid w:val="00132C7F"/>
    <w:rsid w:val="00135ED8"/>
    <w:rsid w:val="00144DBE"/>
    <w:rsid w:val="00150ED6"/>
    <w:rsid w:val="00152C8B"/>
    <w:rsid w:val="0015636A"/>
    <w:rsid w:val="00156FFA"/>
    <w:rsid w:val="00171567"/>
    <w:rsid w:val="00172053"/>
    <w:rsid w:val="00172EEE"/>
    <w:rsid w:val="00177A80"/>
    <w:rsid w:val="00183354"/>
    <w:rsid w:val="00186D22"/>
    <w:rsid w:val="00192F85"/>
    <w:rsid w:val="00196DBF"/>
    <w:rsid w:val="001A1084"/>
    <w:rsid w:val="001A50CB"/>
    <w:rsid w:val="001A74B7"/>
    <w:rsid w:val="001B2D47"/>
    <w:rsid w:val="001B601F"/>
    <w:rsid w:val="001C0250"/>
    <w:rsid w:val="001C605D"/>
    <w:rsid w:val="001C6CF1"/>
    <w:rsid w:val="001C6DA4"/>
    <w:rsid w:val="001C73B1"/>
    <w:rsid w:val="001D1E7D"/>
    <w:rsid w:val="001D3A59"/>
    <w:rsid w:val="001D6567"/>
    <w:rsid w:val="001E2CCB"/>
    <w:rsid w:val="001E4CBA"/>
    <w:rsid w:val="001E523C"/>
    <w:rsid w:val="001E61DF"/>
    <w:rsid w:val="001F2B9F"/>
    <w:rsid w:val="001F5954"/>
    <w:rsid w:val="00202DD3"/>
    <w:rsid w:val="00205193"/>
    <w:rsid w:val="00206E7D"/>
    <w:rsid w:val="00206E8B"/>
    <w:rsid w:val="00217E14"/>
    <w:rsid w:val="00217EFD"/>
    <w:rsid w:val="00222134"/>
    <w:rsid w:val="0022233F"/>
    <w:rsid w:val="00222646"/>
    <w:rsid w:val="00224387"/>
    <w:rsid w:val="00226275"/>
    <w:rsid w:val="0024487A"/>
    <w:rsid w:val="00246564"/>
    <w:rsid w:val="00246A3B"/>
    <w:rsid w:val="002503EE"/>
    <w:rsid w:val="002512BE"/>
    <w:rsid w:val="002530DA"/>
    <w:rsid w:val="00255404"/>
    <w:rsid w:val="0025594F"/>
    <w:rsid w:val="002610DE"/>
    <w:rsid w:val="00270C5E"/>
    <w:rsid w:val="00274E15"/>
    <w:rsid w:val="0027604B"/>
    <w:rsid w:val="00277D61"/>
    <w:rsid w:val="00280806"/>
    <w:rsid w:val="002844C7"/>
    <w:rsid w:val="00290A03"/>
    <w:rsid w:val="0029159A"/>
    <w:rsid w:val="00291600"/>
    <w:rsid w:val="002A02F4"/>
    <w:rsid w:val="002A6F11"/>
    <w:rsid w:val="002B6347"/>
    <w:rsid w:val="002C2C41"/>
    <w:rsid w:val="002C62E7"/>
    <w:rsid w:val="002D19EE"/>
    <w:rsid w:val="002E05E2"/>
    <w:rsid w:val="002E2DD6"/>
    <w:rsid w:val="002E3F28"/>
    <w:rsid w:val="002E5D14"/>
    <w:rsid w:val="002F0E52"/>
    <w:rsid w:val="002F2274"/>
    <w:rsid w:val="002F2405"/>
    <w:rsid w:val="002F5275"/>
    <w:rsid w:val="002F690F"/>
    <w:rsid w:val="003025A6"/>
    <w:rsid w:val="0030301F"/>
    <w:rsid w:val="00303B21"/>
    <w:rsid w:val="003057AA"/>
    <w:rsid w:val="00312CB1"/>
    <w:rsid w:val="00313701"/>
    <w:rsid w:val="00313A30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35CFC"/>
    <w:rsid w:val="00343D6B"/>
    <w:rsid w:val="00347FB5"/>
    <w:rsid w:val="0035039E"/>
    <w:rsid w:val="00351963"/>
    <w:rsid w:val="00355515"/>
    <w:rsid w:val="003608B5"/>
    <w:rsid w:val="003613AF"/>
    <w:rsid w:val="003663B5"/>
    <w:rsid w:val="00381FE7"/>
    <w:rsid w:val="003878C1"/>
    <w:rsid w:val="00396C0B"/>
    <w:rsid w:val="003A0ED1"/>
    <w:rsid w:val="003A211F"/>
    <w:rsid w:val="003A630F"/>
    <w:rsid w:val="003A704C"/>
    <w:rsid w:val="003B3958"/>
    <w:rsid w:val="003B4820"/>
    <w:rsid w:val="003B5F4B"/>
    <w:rsid w:val="003B682F"/>
    <w:rsid w:val="003C17A8"/>
    <w:rsid w:val="003C53FC"/>
    <w:rsid w:val="003C7013"/>
    <w:rsid w:val="003D0356"/>
    <w:rsid w:val="003D641B"/>
    <w:rsid w:val="003F227C"/>
    <w:rsid w:val="004023CC"/>
    <w:rsid w:val="00407564"/>
    <w:rsid w:val="00411152"/>
    <w:rsid w:val="004156AA"/>
    <w:rsid w:val="00421CF3"/>
    <w:rsid w:val="004253A1"/>
    <w:rsid w:val="004313B6"/>
    <w:rsid w:val="00433339"/>
    <w:rsid w:val="00433518"/>
    <w:rsid w:val="004358E6"/>
    <w:rsid w:val="00446BBC"/>
    <w:rsid w:val="004472C0"/>
    <w:rsid w:val="00450705"/>
    <w:rsid w:val="00451928"/>
    <w:rsid w:val="0045427F"/>
    <w:rsid w:val="00460B7F"/>
    <w:rsid w:val="0046618B"/>
    <w:rsid w:val="0048134A"/>
    <w:rsid w:val="0048608C"/>
    <w:rsid w:val="00493111"/>
    <w:rsid w:val="00496E57"/>
    <w:rsid w:val="004B3E10"/>
    <w:rsid w:val="004C02E7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4F5F4F"/>
    <w:rsid w:val="0050199C"/>
    <w:rsid w:val="00501A14"/>
    <w:rsid w:val="00501DE3"/>
    <w:rsid w:val="005058CB"/>
    <w:rsid w:val="005058EB"/>
    <w:rsid w:val="0051044D"/>
    <w:rsid w:val="005139E4"/>
    <w:rsid w:val="00515075"/>
    <w:rsid w:val="00520FE9"/>
    <w:rsid w:val="00521A61"/>
    <w:rsid w:val="005233E7"/>
    <w:rsid w:val="005328B2"/>
    <w:rsid w:val="00535BD5"/>
    <w:rsid w:val="00536C5B"/>
    <w:rsid w:val="00537AC0"/>
    <w:rsid w:val="00540977"/>
    <w:rsid w:val="005478C1"/>
    <w:rsid w:val="00551668"/>
    <w:rsid w:val="005522A0"/>
    <w:rsid w:val="00556890"/>
    <w:rsid w:val="005572D5"/>
    <w:rsid w:val="00560F01"/>
    <w:rsid w:val="00562CBA"/>
    <w:rsid w:val="00566BE4"/>
    <w:rsid w:val="00570438"/>
    <w:rsid w:val="00570D21"/>
    <w:rsid w:val="00573856"/>
    <w:rsid w:val="00576113"/>
    <w:rsid w:val="00585CBB"/>
    <w:rsid w:val="00590652"/>
    <w:rsid w:val="0059235F"/>
    <w:rsid w:val="00596936"/>
    <w:rsid w:val="005A2F1E"/>
    <w:rsid w:val="005A4232"/>
    <w:rsid w:val="005B150A"/>
    <w:rsid w:val="005B168B"/>
    <w:rsid w:val="005B5F3A"/>
    <w:rsid w:val="005B7A88"/>
    <w:rsid w:val="005C3616"/>
    <w:rsid w:val="005D36B2"/>
    <w:rsid w:val="005D52E7"/>
    <w:rsid w:val="005D78B5"/>
    <w:rsid w:val="005E3572"/>
    <w:rsid w:val="005E38AE"/>
    <w:rsid w:val="005E45E4"/>
    <w:rsid w:val="005E6B77"/>
    <w:rsid w:val="005F0016"/>
    <w:rsid w:val="005F0A81"/>
    <w:rsid w:val="005F0FCF"/>
    <w:rsid w:val="005F40A3"/>
    <w:rsid w:val="005F6180"/>
    <w:rsid w:val="0060042F"/>
    <w:rsid w:val="006008BC"/>
    <w:rsid w:val="00602CFD"/>
    <w:rsid w:val="00606B55"/>
    <w:rsid w:val="00606BED"/>
    <w:rsid w:val="006121D0"/>
    <w:rsid w:val="00612A7B"/>
    <w:rsid w:val="00616E5E"/>
    <w:rsid w:val="006173A4"/>
    <w:rsid w:val="00617E50"/>
    <w:rsid w:val="00620014"/>
    <w:rsid w:val="006205AD"/>
    <w:rsid w:val="00625C3A"/>
    <w:rsid w:val="00635DDB"/>
    <w:rsid w:val="00637919"/>
    <w:rsid w:val="0064149A"/>
    <w:rsid w:val="00646DFE"/>
    <w:rsid w:val="00650530"/>
    <w:rsid w:val="00650C96"/>
    <w:rsid w:val="00653788"/>
    <w:rsid w:val="0065477F"/>
    <w:rsid w:val="00656896"/>
    <w:rsid w:val="00657E1D"/>
    <w:rsid w:val="00661656"/>
    <w:rsid w:val="0066374F"/>
    <w:rsid w:val="00677C65"/>
    <w:rsid w:val="00692C89"/>
    <w:rsid w:val="00693152"/>
    <w:rsid w:val="00694FAE"/>
    <w:rsid w:val="00696E3A"/>
    <w:rsid w:val="006A0834"/>
    <w:rsid w:val="006A4BBD"/>
    <w:rsid w:val="006A52F1"/>
    <w:rsid w:val="006B4E2A"/>
    <w:rsid w:val="006B561D"/>
    <w:rsid w:val="006B5938"/>
    <w:rsid w:val="006B6D5D"/>
    <w:rsid w:val="006B7D34"/>
    <w:rsid w:val="006C2BCB"/>
    <w:rsid w:val="006D2330"/>
    <w:rsid w:val="006E0F8B"/>
    <w:rsid w:val="006E12F7"/>
    <w:rsid w:val="006E29D7"/>
    <w:rsid w:val="007068A4"/>
    <w:rsid w:val="00706D67"/>
    <w:rsid w:val="00710878"/>
    <w:rsid w:val="00711DC5"/>
    <w:rsid w:val="00713052"/>
    <w:rsid w:val="00721367"/>
    <w:rsid w:val="007231FA"/>
    <w:rsid w:val="00732C67"/>
    <w:rsid w:val="00734418"/>
    <w:rsid w:val="007405BA"/>
    <w:rsid w:val="00744C5E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1BEA"/>
    <w:rsid w:val="007A3034"/>
    <w:rsid w:val="007A527E"/>
    <w:rsid w:val="007A53E7"/>
    <w:rsid w:val="007A78F7"/>
    <w:rsid w:val="007B3333"/>
    <w:rsid w:val="007B379F"/>
    <w:rsid w:val="007B37D6"/>
    <w:rsid w:val="007B5D30"/>
    <w:rsid w:val="007B7EAE"/>
    <w:rsid w:val="007D2920"/>
    <w:rsid w:val="007D42DD"/>
    <w:rsid w:val="007E6A37"/>
    <w:rsid w:val="007F1774"/>
    <w:rsid w:val="007F4D31"/>
    <w:rsid w:val="007F6915"/>
    <w:rsid w:val="00805700"/>
    <w:rsid w:val="00811A70"/>
    <w:rsid w:val="00812D1B"/>
    <w:rsid w:val="00813E16"/>
    <w:rsid w:val="0081406E"/>
    <w:rsid w:val="00814B28"/>
    <w:rsid w:val="008162E2"/>
    <w:rsid w:val="00827019"/>
    <w:rsid w:val="00831BA2"/>
    <w:rsid w:val="00832211"/>
    <w:rsid w:val="008325F4"/>
    <w:rsid w:val="00832AC8"/>
    <w:rsid w:val="0084271B"/>
    <w:rsid w:val="00844981"/>
    <w:rsid w:val="00846FA4"/>
    <w:rsid w:val="008524BA"/>
    <w:rsid w:val="00852B74"/>
    <w:rsid w:val="00856928"/>
    <w:rsid w:val="00865538"/>
    <w:rsid w:val="00870875"/>
    <w:rsid w:val="00874880"/>
    <w:rsid w:val="0088225C"/>
    <w:rsid w:val="00883357"/>
    <w:rsid w:val="00884026"/>
    <w:rsid w:val="00884C78"/>
    <w:rsid w:val="008859E1"/>
    <w:rsid w:val="008948ED"/>
    <w:rsid w:val="00896264"/>
    <w:rsid w:val="008A5D88"/>
    <w:rsid w:val="008B1DB4"/>
    <w:rsid w:val="008B2851"/>
    <w:rsid w:val="008C000E"/>
    <w:rsid w:val="008C54F9"/>
    <w:rsid w:val="008D0F2F"/>
    <w:rsid w:val="008D237F"/>
    <w:rsid w:val="008D6B05"/>
    <w:rsid w:val="008E12F6"/>
    <w:rsid w:val="008E19B5"/>
    <w:rsid w:val="008E744E"/>
    <w:rsid w:val="008E7D2D"/>
    <w:rsid w:val="008F44C0"/>
    <w:rsid w:val="008F5999"/>
    <w:rsid w:val="00903AD6"/>
    <w:rsid w:val="00904D7A"/>
    <w:rsid w:val="00905BB2"/>
    <w:rsid w:val="00906407"/>
    <w:rsid w:val="009126F9"/>
    <w:rsid w:val="00915332"/>
    <w:rsid w:val="009204BB"/>
    <w:rsid w:val="00935918"/>
    <w:rsid w:val="00935EC3"/>
    <w:rsid w:val="0094341B"/>
    <w:rsid w:val="00951097"/>
    <w:rsid w:val="00953C1E"/>
    <w:rsid w:val="0095797C"/>
    <w:rsid w:val="0096210F"/>
    <w:rsid w:val="00962633"/>
    <w:rsid w:val="00963187"/>
    <w:rsid w:val="00963ACF"/>
    <w:rsid w:val="00963D1C"/>
    <w:rsid w:val="00964284"/>
    <w:rsid w:val="0097028A"/>
    <w:rsid w:val="00973BD6"/>
    <w:rsid w:val="0097519F"/>
    <w:rsid w:val="009804D7"/>
    <w:rsid w:val="00980894"/>
    <w:rsid w:val="00984549"/>
    <w:rsid w:val="00985D28"/>
    <w:rsid w:val="00991BF0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D78EF"/>
    <w:rsid w:val="009E3B42"/>
    <w:rsid w:val="009E7FE2"/>
    <w:rsid w:val="00A05B60"/>
    <w:rsid w:val="00A13266"/>
    <w:rsid w:val="00A14FA6"/>
    <w:rsid w:val="00A15D64"/>
    <w:rsid w:val="00A20575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0BDF"/>
    <w:rsid w:val="00A744C3"/>
    <w:rsid w:val="00A862C9"/>
    <w:rsid w:val="00A97ABE"/>
    <w:rsid w:val="00AA70AB"/>
    <w:rsid w:val="00AB0B9F"/>
    <w:rsid w:val="00AB1713"/>
    <w:rsid w:val="00AB2141"/>
    <w:rsid w:val="00AB63BE"/>
    <w:rsid w:val="00AB7FE4"/>
    <w:rsid w:val="00AC1EBC"/>
    <w:rsid w:val="00AC2599"/>
    <w:rsid w:val="00AC2DE9"/>
    <w:rsid w:val="00AC7451"/>
    <w:rsid w:val="00AD0F62"/>
    <w:rsid w:val="00AD2C5F"/>
    <w:rsid w:val="00AD6CEE"/>
    <w:rsid w:val="00AE1481"/>
    <w:rsid w:val="00AE27F9"/>
    <w:rsid w:val="00AE3473"/>
    <w:rsid w:val="00AE6983"/>
    <w:rsid w:val="00AE77DB"/>
    <w:rsid w:val="00AF7453"/>
    <w:rsid w:val="00B00FFF"/>
    <w:rsid w:val="00B04A72"/>
    <w:rsid w:val="00B06084"/>
    <w:rsid w:val="00B16735"/>
    <w:rsid w:val="00B17EDE"/>
    <w:rsid w:val="00B22585"/>
    <w:rsid w:val="00B33693"/>
    <w:rsid w:val="00B34C53"/>
    <w:rsid w:val="00B430F4"/>
    <w:rsid w:val="00B507A5"/>
    <w:rsid w:val="00B52475"/>
    <w:rsid w:val="00B535DA"/>
    <w:rsid w:val="00B56DCC"/>
    <w:rsid w:val="00B56F54"/>
    <w:rsid w:val="00B57898"/>
    <w:rsid w:val="00B638C2"/>
    <w:rsid w:val="00B65D75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3CC3"/>
    <w:rsid w:val="00BD47CA"/>
    <w:rsid w:val="00BD4DC4"/>
    <w:rsid w:val="00BD62C7"/>
    <w:rsid w:val="00BE020D"/>
    <w:rsid w:val="00BE2576"/>
    <w:rsid w:val="00BE354A"/>
    <w:rsid w:val="00BF5EEF"/>
    <w:rsid w:val="00C02553"/>
    <w:rsid w:val="00C03299"/>
    <w:rsid w:val="00C04EB6"/>
    <w:rsid w:val="00C056F9"/>
    <w:rsid w:val="00C07141"/>
    <w:rsid w:val="00C1018C"/>
    <w:rsid w:val="00C10B92"/>
    <w:rsid w:val="00C1150E"/>
    <w:rsid w:val="00C14D52"/>
    <w:rsid w:val="00C1525B"/>
    <w:rsid w:val="00C23013"/>
    <w:rsid w:val="00C2586C"/>
    <w:rsid w:val="00C26001"/>
    <w:rsid w:val="00C342CB"/>
    <w:rsid w:val="00C34E72"/>
    <w:rsid w:val="00C55015"/>
    <w:rsid w:val="00C56B1F"/>
    <w:rsid w:val="00C60967"/>
    <w:rsid w:val="00C61B52"/>
    <w:rsid w:val="00C62745"/>
    <w:rsid w:val="00C635E3"/>
    <w:rsid w:val="00C654CA"/>
    <w:rsid w:val="00C713D2"/>
    <w:rsid w:val="00C722C9"/>
    <w:rsid w:val="00C75E3D"/>
    <w:rsid w:val="00C761F4"/>
    <w:rsid w:val="00C763BD"/>
    <w:rsid w:val="00C779A8"/>
    <w:rsid w:val="00C825C2"/>
    <w:rsid w:val="00C82E19"/>
    <w:rsid w:val="00C858B7"/>
    <w:rsid w:val="00C92489"/>
    <w:rsid w:val="00C96873"/>
    <w:rsid w:val="00CA1735"/>
    <w:rsid w:val="00CA3C4B"/>
    <w:rsid w:val="00CA7252"/>
    <w:rsid w:val="00CB00F0"/>
    <w:rsid w:val="00CB2C5A"/>
    <w:rsid w:val="00CB566A"/>
    <w:rsid w:val="00CD2C00"/>
    <w:rsid w:val="00CE0C1C"/>
    <w:rsid w:val="00CE34AF"/>
    <w:rsid w:val="00CF00A4"/>
    <w:rsid w:val="00CF25FB"/>
    <w:rsid w:val="00CF614C"/>
    <w:rsid w:val="00D02F34"/>
    <w:rsid w:val="00D07A63"/>
    <w:rsid w:val="00D13D87"/>
    <w:rsid w:val="00D15157"/>
    <w:rsid w:val="00D16590"/>
    <w:rsid w:val="00D17A02"/>
    <w:rsid w:val="00D20720"/>
    <w:rsid w:val="00D250D9"/>
    <w:rsid w:val="00D27533"/>
    <w:rsid w:val="00D34C1D"/>
    <w:rsid w:val="00D42DA3"/>
    <w:rsid w:val="00D4546D"/>
    <w:rsid w:val="00D47996"/>
    <w:rsid w:val="00D607A2"/>
    <w:rsid w:val="00D61118"/>
    <w:rsid w:val="00D614F1"/>
    <w:rsid w:val="00D70D50"/>
    <w:rsid w:val="00D71917"/>
    <w:rsid w:val="00D82CAB"/>
    <w:rsid w:val="00DA3A0F"/>
    <w:rsid w:val="00DA4E62"/>
    <w:rsid w:val="00DA6990"/>
    <w:rsid w:val="00DB27BA"/>
    <w:rsid w:val="00DB337A"/>
    <w:rsid w:val="00DC2257"/>
    <w:rsid w:val="00DC51CB"/>
    <w:rsid w:val="00DC6636"/>
    <w:rsid w:val="00DD4819"/>
    <w:rsid w:val="00DD4B8A"/>
    <w:rsid w:val="00DD5403"/>
    <w:rsid w:val="00DE1388"/>
    <w:rsid w:val="00DE7501"/>
    <w:rsid w:val="00DF28FE"/>
    <w:rsid w:val="00DF3146"/>
    <w:rsid w:val="00DF57C3"/>
    <w:rsid w:val="00E008D9"/>
    <w:rsid w:val="00E02EFD"/>
    <w:rsid w:val="00E02FE0"/>
    <w:rsid w:val="00E03524"/>
    <w:rsid w:val="00E07ABE"/>
    <w:rsid w:val="00E11A3F"/>
    <w:rsid w:val="00E1386E"/>
    <w:rsid w:val="00E15DDD"/>
    <w:rsid w:val="00E2369B"/>
    <w:rsid w:val="00E23EC0"/>
    <w:rsid w:val="00E320DD"/>
    <w:rsid w:val="00E34158"/>
    <w:rsid w:val="00E354AA"/>
    <w:rsid w:val="00E43D54"/>
    <w:rsid w:val="00E442FB"/>
    <w:rsid w:val="00E511E8"/>
    <w:rsid w:val="00E529DB"/>
    <w:rsid w:val="00E53A5E"/>
    <w:rsid w:val="00E6466A"/>
    <w:rsid w:val="00E72221"/>
    <w:rsid w:val="00E83428"/>
    <w:rsid w:val="00E84C58"/>
    <w:rsid w:val="00E873A5"/>
    <w:rsid w:val="00E90D11"/>
    <w:rsid w:val="00E915E5"/>
    <w:rsid w:val="00E92082"/>
    <w:rsid w:val="00EB0367"/>
    <w:rsid w:val="00EB4FB9"/>
    <w:rsid w:val="00EB5BC8"/>
    <w:rsid w:val="00EC2738"/>
    <w:rsid w:val="00ED7B42"/>
    <w:rsid w:val="00EE3EA5"/>
    <w:rsid w:val="00EE45F0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30C0B"/>
    <w:rsid w:val="00F4092A"/>
    <w:rsid w:val="00F41F69"/>
    <w:rsid w:val="00F43E41"/>
    <w:rsid w:val="00F474BF"/>
    <w:rsid w:val="00F4790C"/>
    <w:rsid w:val="00F50C4B"/>
    <w:rsid w:val="00F54C08"/>
    <w:rsid w:val="00F54CBA"/>
    <w:rsid w:val="00F553A2"/>
    <w:rsid w:val="00F6068C"/>
    <w:rsid w:val="00F62F33"/>
    <w:rsid w:val="00F63A52"/>
    <w:rsid w:val="00F70C5A"/>
    <w:rsid w:val="00F730BA"/>
    <w:rsid w:val="00F80E20"/>
    <w:rsid w:val="00F83277"/>
    <w:rsid w:val="00F903BE"/>
    <w:rsid w:val="00F907BA"/>
    <w:rsid w:val="00F91B82"/>
    <w:rsid w:val="00F95D04"/>
    <w:rsid w:val="00F97697"/>
    <w:rsid w:val="00FA16EC"/>
    <w:rsid w:val="00FA2811"/>
    <w:rsid w:val="00FA2CFB"/>
    <w:rsid w:val="00FA4837"/>
    <w:rsid w:val="00FB1D33"/>
    <w:rsid w:val="00FB5E96"/>
    <w:rsid w:val="00FC008C"/>
    <w:rsid w:val="00FC05A0"/>
    <w:rsid w:val="00FC6758"/>
    <w:rsid w:val="00FD2470"/>
    <w:rsid w:val="00FD3014"/>
    <w:rsid w:val="00FD34EA"/>
    <w:rsid w:val="00FD7A1B"/>
    <w:rsid w:val="00FE3F3E"/>
    <w:rsid w:val="00FE4D52"/>
    <w:rsid w:val="00FE5817"/>
    <w:rsid w:val="00FE5AEE"/>
    <w:rsid w:val="00FF106B"/>
    <w:rsid w:val="00FF5FEA"/>
    <w:rsid w:val="00FF6E36"/>
    <w:rsid w:val="5F92D11A"/>
    <w:rsid w:val="667AA6FD"/>
    <w:rsid w:val="68E2B804"/>
    <w:rsid w:val="6EB7A09E"/>
    <w:rsid w:val="70E341D6"/>
    <w:rsid w:val="71C8ADA5"/>
    <w:rsid w:val="78B7C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92F8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F8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92F85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F85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335CFC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668E07-37A5-4D9C-8910-B98884E6D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5234</Characters>
  <Application>Microsoft Office Word</Application>
  <DocSecurity>10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Targeted Immune Modulators, Interleukin-6 (IL-6) Receptor Inhibitors PDL Edit</vt:lpstr>
    </vt:vector>
  </TitlesOfParts>
  <Company>DSS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Targeted Immune Modulators, Interleukin-6 (IL-6) Receptor Inhibitors PDL Edit</dc:title>
  <dc:creator>DMS</dc:creator>
  <cp:lastModifiedBy>Hammond, Chelsea</cp:lastModifiedBy>
  <cp:revision>2</cp:revision>
  <cp:lastPrinted>2018-10-31T20:17:00Z</cp:lastPrinted>
  <dcterms:created xsi:type="dcterms:W3CDTF">2026-09-23T16:19:00Z</dcterms:created>
  <dcterms:modified xsi:type="dcterms:W3CDTF">2026-09-23T16:19:00Z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5e6d170a-95cf-4768-8b7c-cfe4645c3552</vt:lpwstr>
  </property>
</Properties>
</file>