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5303241D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1659FF" w:rsidRPr="001659FF">
        <w:rPr>
          <w:b w:val="0"/>
          <w:bCs/>
        </w:rPr>
        <w:t>Targeted Immune Modulators, Janus Kinase (JAK) Inhibitors PDL Edit</w:t>
      </w:r>
    </w:p>
    <w:p w14:paraId="7AD7FFCE" w14:textId="416CCA85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29323A" w:rsidRPr="0029323A">
        <w:rPr>
          <w:b w:val="0"/>
          <w:bCs/>
        </w:rPr>
        <w:t>January 22, 2004</w:t>
      </w:r>
    </w:p>
    <w:p w14:paraId="4B7D760D" w14:textId="34C9756F" w:rsidR="004C5767" w:rsidRPr="00057F84" w:rsidRDefault="009072D9" w:rsidP="70E341D6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October</w:t>
      </w:r>
      <w:r w:rsidR="00BD4DC4" w:rsidRPr="00BD4DC4">
        <w:rPr>
          <w:b w:val="0"/>
          <w:bCs/>
        </w:rPr>
        <w:t xml:space="preserve"> 1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10F7F13A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390456">
        <w:rPr>
          <w:b w:val="0"/>
          <w:bCs/>
          <w:spacing w:val="-3"/>
        </w:rPr>
        <w:t>Revision of E</w:t>
      </w:r>
      <w:r w:rsidR="00566BE4" w:rsidRPr="00D27533">
        <w:rPr>
          <w:b w:val="0"/>
          <w:bCs/>
          <w:spacing w:val="-3"/>
        </w:rPr>
        <w:t>xisting Criteria</w:t>
      </w:r>
      <w:r w:rsidR="00566BE4">
        <w:rPr>
          <w:b w:val="0"/>
          <w:bCs/>
          <w:spacing w:val="-3"/>
        </w:rPr>
        <w:t xml:space="preserve"> 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0C5355BD" w14:textId="77777777" w:rsidR="00D91D98" w:rsidRDefault="00D91D98" w:rsidP="00D91D98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 w:rsidRPr="006F379A">
        <w:rPr>
          <w:rFonts w:cs="Arial"/>
          <w:spacing w:val="-3"/>
          <w:sz w:val="20"/>
        </w:rPr>
        <w:t xml:space="preserve">Janus kinase (JAK) </w:t>
      </w:r>
      <w:r>
        <w:rPr>
          <w:rFonts w:cs="Arial"/>
          <w:spacing w:val="-3"/>
          <w:sz w:val="20"/>
        </w:rPr>
        <w:t xml:space="preserve">is a </w:t>
      </w:r>
      <w:r w:rsidRPr="006F379A">
        <w:rPr>
          <w:rFonts w:cs="Arial"/>
          <w:spacing w:val="-3"/>
          <w:sz w:val="20"/>
        </w:rPr>
        <w:t>cyto</w:t>
      </w:r>
      <w:r>
        <w:rPr>
          <w:rFonts w:cs="Arial"/>
          <w:spacing w:val="-3"/>
          <w:sz w:val="20"/>
        </w:rPr>
        <w:t>plasmic protein tyrosine kinase that is</w:t>
      </w:r>
      <w:r w:rsidRPr="006F379A">
        <w:rPr>
          <w:rFonts w:cs="Arial"/>
          <w:spacing w:val="-3"/>
          <w:sz w:val="20"/>
        </w:rPr>
        <w:t xml:space="preserve"> essential for signal transduction to the nucleus from common plasma membrane receptors for some interleukins.  </w:t>
      </w:r>
      <w:r>
        <w:rPr>
          <w:rFonts w:cs="Arial"/>
          <w:spacing w:val="-3"/>
          <w:sz w:val="20"/>
        </w:rPr>
        <w:t xml:space="preserve">JAKs activate signal transducers and activators of transcriptions which regulate gene function and intracellular activity.  Inhibiting the JAK enzymes will prevent cytokine or growth factor-mediated gene expression and intracellular activity thus decreasing immunological responses.  </w:t>
      </w:r>
      <w:r w:rsidRPr="006F379A">
        <w:rPr>
          <w:rFonts w:cs="Arial"/>
          <w:spacing w:val="-3"/>
          <w:sz w:val="20"/>
        </w:rPr>
        <w:t>All JAK inhibitors are available in an oral formulation and are classified as targeted synthetic disease-modifying anti</w:t>
      </w:r>
      <w:r>
        <w:rPr>
          <w:rFonts w:cs="Arial"/>
          <w:spacing w:val="-3"/>
          <w:sz w:val="20"/>
        </w:rPr>
        <w:t>-</w:t>
      </w:r>
      <w:r w:rsidRPr="006F379A">
        <w:rPr>
          <w:rFonts w:cs="Arial"/>
          <w:spacing w:val="-3"/>
          <w:sz w:val="20"/>
        </w:rPr>
        <w:t>rheumatic drugs (tsDMARDs).  tsDMARDs may be an appropriate therapy choice in participants who do not prefer</w:t>
      </w:r>
      <w:r>
        <w:rPr>
          <w:rFonts w:cs="Arial"/>
          <w:spacing w:val="-3"/>
          <w:sz w:val="20"/>
        </w:rPr>
        <w:t xml:space="preserve"> agents</w:t>
      </w:r>
      <w:r w:rsidRPr="006F379A">
        <w:rPr>
          <w:rFonts w:cs="Arial"/>
          <w:spacing w:val="-3"/>
          <w:sz w:val="20"/>
        </w:rPr>
        <w:t xml:space="preserve"> that have a subcutaneous or intravenous administration technique.  </w:t>
      </w:r>
    </w:p>
    <w:p w14:paraId="740CEA5B" w14:textId="77777777" w:rsidR="00D91D98" w:rsidRDefault="00D91D98" w:rsidP="00D91D98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</w:p>
    <w:p w14:paraId="2E8795D4" w14:textId="536F97DB" w:rsidR="00D91D98" w:rsidRPr="006F379A" w:rsidRDefault="00D91D98" w:rsidP="008730A6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>
        <w:rPr>
          <w:rFonts w:cs="Arial"/>
          <w:spacing w:val="-3"/>
          <w:sz w:val="20"/>
        </w:rPr>
        <w:t xml:space="preserve">The U.S. Food and Drug Administration (FDA) issued a Drug Safety Communication in September 2021 </w:t>
      </w:r>
      <w:r w:rsidR="00760ADE">
        <w:rPr>
          <w:rFonts w:cs="Arial"/>
          <w:spacing w:val="-3"/>
          <w:sz w:val="20"/>
        </w:rPr>
        <w:t>highlighting</w:t>
      </w:r>
      <w:r>
        <w:rPr>
          <w:rFonts w:cs="Arial"/>
          <w:spacing w:val="-3"/>
          <w:sz w:val="20"/>
        </w:rPr>
        <w:t xml:space="preserve"> the increased risk of serious heart-related events, cancer, thrombosis, and death associated with JAK inhibitors</w:t>
      </w:r>
      <w:r w:rsidR="00637E6F">
        <w:rPr>
          <w:rFonts w:cs="Arial"/>
          <w:spacing w:val="-3"/>
          <w:sz w:val="20"/>
        </w:rPr>
        <w:t>, and label</w:t>
      </w:r>
      <w:r w:rsidR="000C0FEA">
        <w:rPr>
          <w:rFonts w:cs="Arial"/>
          <w:spacing w:val="-3"/>
          <w:sz w:val="20"/>
        </w:rPr>
        <w:t>s</w:t>
      </w:r>
      <w:r>
        <w:rPr>
          <w:rFonts w:cs="Arial"/>
          <w:spacing w:val="-3"/>
          <w:sz w:val="20"/>
        </w:rPr>
        <w:t xml:space="preserve"> </w:t>
      </w:r>
      <w:r w:rsidR="00D74589">
        <w:rPr>
          <w:rFonts w:cs="Arial"/>
          <w:spacing w:val="-3"/>
          <w:sz w:val="20"/>
        </w:rPr>
        <w:t xml:space="preserve">for </w:t>
      </w:r>
      <w:r>
        <w:rPr>
          <w:rFonts w:cs="Arial"/>
          <w:spacing w:val="-3"/>
          <w:sz w:val="20"/>
        </w:rPr>
        <w:t xml:space="preserve">all </w:t>
      </w:r>
      <w:r w:rsidR="00D74589">
        <w:rPr>
          <w:rFonts w:cs="Arial"/>
          <w:spacing w:val="-3"/>
          <w:sz w:val="20"/>
        </w:rPr>
        <w:t>agents in the</w:t>
      </w:r>
      <w:r>
        <w:rPr>
          <w:rFonts w:cs="Arial"/>
          <w:spacing w:val="-3"/>
          <w:sz w:val="20"/>
        </w:rPr>
        <w:t xml:space="preserve"> class were required to be updated with boxed warnings.  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059334B1" w14:textId="77777777" w:rsidR="00192BEB" w:rsidRPr="00A61FE4" w:rsidRDefault="00192BEB" w:rsidP="00192BEB">
      <w:pPr>
        <w:pStyle w:val="ListParagraph"/>
      </w:pPr>
      <w:r w:rsidRPr="00A61FE4">
        <w:t>Rinvoq</w:t>
      </w:r>
      <w:r w:rsidRPr="00A61FE4">
        <w:rPr>
          <w:vertAlign w:val="superscript"/>
        </w:rPr>
        <w:t>®</w:t>
      </w:r>
      <w:r w:rsidRPr="00A61FE4">
        <w:t xml:space="preserve"> Tabs</w:t>
      </w:r>
    </w:p>
    <w:p w14:paraId="6B822DAF" w14:textId="215F2A18" w:rsidR="00244B12" w:rsidRPr="00BA3666" w:rsidRDefault="00244B12" w:rsidP="00192BEB">
      <w:pPr>
        <w:pStyle w:val="ListParagraph"/>
        <w:rPr>
          <w:b/>
          <w:bCs/>
          <w:color w:val="1F497D" w:themeColor="text2"/>
        </w:rPr>
      </w:pPr>
      <w:r w:rsidRPr="00BA3666">
        <w:rPr>
          <w:b/>
          <w:bCs/>
          <w:color w:val="1F497D" w:themeColor="text2"/>
        </w:rPr>
        <w:t>Tofacitinib Tabs</w:t>
      </w:r>
    </w:p>
    <w:p w14:paraId="323BB73B" w14:textId="67659B72" w:rsidR="00244B12" w:rsidRPr="00BA3666" w:rsidRDefault="001A2E32" w:rsidP="00192BEB">
      <w:pPr>
        <w:pStyle w:val="ListParagraph"/>
        <w:rPr>
          <w:b/>
          <w:bCs/>
          <w:color w:val="1F497D" w:themeColor="text2"/>
        </w:rPr>
      </w:pPr>
      <w:r w:rsidRPr="00BA3666">
        <w:rPr>
          <w:b/>
          <w:bCs/>
          <w:color w:val="1F497D" w:themeColor="text2"/>
        </w:rPr>
        <w:t>Tofacitinib ER 11 mg Tabs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5A4E94BB" w14:textId="77777777" w:rsidR="00001C61" w:rsidRPr="00CB2850" w:rsidRDefault="00001C61" w:rsidP="00001C61">
      <w:pPr>
        <w:pStyle w:val="ListParagraph"/>
      </w:pPr>
      <w:r w:rsidRPr="00CB2850">
        <w:t>Cibinqo</w:t>
      </w:r>
      <w:r w:rsidRPr="00CB2850">
        <w:rPr>
          <w:vertAlign w:val="superscript"/>
        </w:rPr>
        <w:t>™</w:t>
      </w:r>
    </w:p>
    <w:p w14:paraId="464B096B" w14:textId="75DA070A" w:rsidR="00A82A18" w:rsidRPr="00A82A18" w:rsidRDefault="00A82A18" w:rsidP="00001C61">
      <w:pPr>
        <w:pStyle w:val="ListParagraph"/>
        <w:rPr>
          <w:b/>
          <w:bCs/>
          <w:color w:val="1F497D" w:themeColor="text2"/>
        </w:rPr>
      </w:pPr>
      <w:proofErr w:type="spellStart"/>
      <w:r w:rsidRPr="00A82A18">
        <w:rPr>
          <w:b/>
          <w:bCs/>
          <w:color w:val="1F497D" w:themeColor="text2"/>
        </w:rPr>
        <w:t>Leqselvi</w:t>
      </w:r>
      <w:proofErr w:type="spellEnd"/>
      <w:r w:rsidR="00BF1FE0" w:rsidRPr="00BF1FE0">
        <w:rPr>
          <w:b/>
          <w:bCs/>
          <w:color w:val="1F497D" w:themeColor="text2"/>
          <w:vertAlign w:val="superscript"/>
        </w:rPr>
        <w:t>™</w:t>
      </w:r>
    </w:p>
    <w:p w14:paraId="13ACAEDD" w14:textId="1AF50EF2" w:rsidR="00001C61" w:rsidRPr="00CB2850" w:rsidRDefault="00001C61" w:rsidP="00001C61">
      <w:pPr>
        <w:pStyle w:val="ListParagraph"/>
      </w:pPr>
      <w:r w:rsidRPr="00CB2850">
        <w:t>Litfulo</w:t>
      </w:r>
      <w:r w:rsidRPr="00CB2850">
        <w:rPr>
          <w:vertAlign w:val="superscript"/>
        </w:rPr>
        <w:t>™</w:t>
      </w:r>
    </w:p>
    <w:p w14:paraId="62BD2176" w14:textId="77777777" w:rsidR="00001C61" w:rsidRPr="006001CA" w:rsidRDefault="00001C61" w:rsidP="00001C61">
      <w:pPr>
        <w:pStyle w:val="ListParagraph"/>
      </w:pPr>
      <w:r w:rsidRPr="00CB2850">
        <w:t>Olumiant</w:t>
      </w:r>
      <w:r w:rsidRPr="00CB2850">
        <w:rPr>
          <w:vertAlign w:val="superscript"/>
        </w:rPr>
        <w:t>®</w:t>
      </w:r>
    </w:p>
    <w:p w14:paraId="0CB98928" w14:textId="77777777" w:rsidR="00001C61" w:rsidRDefault="00001C61" w:rsidP="00001C61">
      <w:pPr>
        <w:pStyle w:val="ListParagraph"/>
      </w:pPr>
      <w:r w:rsidRPr="0035247B">
        <w:t>Rinvoq</w:t>
      </w:r>
      <w:r w:rsidRPr="0035247B">
        <w:rPr>
          <w:vertAlign w:val="superscript"/>
        </w:rPr>
        <w:t xml:space="preserve">® </w:t>
      </w:r>
      <w:r w:rsidRPr="0035247B">
        <w:t>Soln</w:t>
      </w:r>
    </w:p>
    <w:p w14:paraId="7DEC86B1" w14:textId="51FB5F56" w:rsidR="001A2E32" w:rsidRPr="00BA3666" w:rsidRDefault="000C0BDB" w:rsidP="00001C61">
      <w:pPr>
        <w:pStyle w:val="ListParagraph"/>
        <w:rPr>
          <w:b/>
          <w:bCs/>
          <w:color w:val="1F497D" w:themeColor="text2"/>
        </w:rPr>
      </w:pPr>
      <w:r w:rsidRPr="001A2E32">
        <w:rPr>
          <w:b/>
          <w:color w:val="1F497D" w:themeColor="text2"/>
        </w:rPr>
        <w:t>Tofacitinib ER</w:t>
      </w:r>
      <w:r w:rsidR="001A2E32" w:rsidRPr="001A2E32">
        <w:rPr>
          <w:b/>
          <w:bCs/>
          <w:color w:val="1F497D" w:themeColor="text2"/>
        </w:rPr>
        <w:t xml:space="preserve"> 22 mg Tabs</w:t>
      </w:r>
    </w:p>
    <w:p w14:paraId="5C0B15F2" w14:textId="38D722AD" w:rsidR="001A2E32" w:rsidRPr="00BA3666" w:rsidRDefault="00226367" w:rsidP="00001C61">
      <w:pPr>
        <w:pStyle w:val="ListParagraph"/>
        <w:rPr>
          <w:b/>
          <w:bCs/>
          <w:color w:val="1F497D" w:themeColor="text2"/>
        </w:rPr>
      </w:pPr>
      <w:r w:rsidRPr="00BA3666">
        <w:rPr>
          <w:b/>
          <w:bCs/>
          <w:color w:val="1F497D" w:themeColor="text2"/>
        </w:rPr>
        <w:t>Tofacitinib Susp</w:t>
      </w:r>
    </w:p>
    <w:p w14:paraId="6D696800" w14:textId="23E14E79" w:rsidR="00E23EC0" w:rsidRPr="002C2C41" w:rsidRDefault="00001C61" w:rsidP="00BA3666">
      <w:pPr>
        <w:pStyle w:val="ListParagraph"/>
        <w:rPr>
          <w:rFonts w:cs="Arial"/>
          <w:spacing w:val="-3"/>
          <w:szCs w:val="20"/>
        </w:rPr>
      </w:pPr>
      <w:r w:rsidRPr="00CB2850">
        <w:t>Xeljanz</w:t>
      </w:r>
      <w:r w:rsidRPr="00CB2850">
        <w:rPr>
          <w:vertAlign w:val="superscript"/>
        </w:rPr>
        <w:t>®</w:t>
      </w: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BC0FDAB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20256B" w:rsidRPr="0020256B">
        <w:t>Targeted Immune Modulators, Janus Kinase (JAK) Inhibitors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2C1C0976" w14:textId="77777777" w:rsidR="00AB7FC2" w:rsidRDefault="00AB7FC2" w:rsidP="00AB7FC2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4AA3C9E2" w14:textId="77777777" w:rsidR="00AB7FC2" w:rsidRDefault="00AB7FC2" w:rsidP="00AB7FC2">
      <w:pPr>
        <w:pStyle w:val="ListParagraph"/>
        <w:numPr>
          <w:ilvl w:val="1"/>
          <w:numId w:val="18"/>
        </w:numPr>
        <w:ind w:left="72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a preferred agent;</w:t>
      </w:r>
    </w:p>
    <w:p w14:paraId="0884D106" w14:textId="77777777" w:rsidR="00AB7FC2" w:rsidRDefault="00AB7FC2" w:rsidP="00AB7FC2">
      <w:pPr>
        <w:pStyle w:val="ListParagraph"/>
        <w:numPr>
          <w:ilvl w:val="1"/>
          <w:numId w:val="18"/>
        </w:numPr>
        <w:ind w:left="720"/>
        <w:rPr>
          <w:rFonts w:cs="Arial"/>
          <w:bCs/>
          <w:szCs w:val="20"/>
        </w:rPr>
      </w:pPr>
      <w:r w:rsidRPr="0090413A">
        <w:rPr>
          <w:rFonts w:cs="Arial"/>
          <w:bCs/>
          <w:szCs w:val="20"/>
        </w:rPr>
        <w:t>Documented compliance on current therapy regimen</w:t>
      </w:r>
      <w:r>
        <w:rPr>
          <w:rFonts w:cs="Arial"/>
          <w:bCs/>
          <w:szCs w:val="20"/>
        </w:rPr>
        <w:t xml:space="preserve">; </w:t>
      </w:r>
      <w:r w:rsidRPr="00997008">
        <w:rPr>
          <w:rFonts w:cs="Arial"/>
          <w:b/>
          <w:szCs w:val="20"/>
        </w:rPr>
        <w:t>OR</w:t>
      </w:r>
    </w:p>
    <w:p w14:paraId="6A539890" w14:textId="77777777" w:rsidR="00AB7FC2" w:rsidRPr="006702E7" w:rsidRDefault="00AB7FC2" w:rsidP="00AB7FC2">
      <w:pPr>
        <w:pStyle w:val="ListParagraph"/>
        <w:numPr>
          <w:ilvl w:val="1"/>
          <w:numId w:val="18"/>
        </w:numPr>
        <w:ind w:left="720"/>
        <w:rPr>
          <w:rFonts w:cs="Arial"/>
          <w:b/>
          <w:bCs/>
          <w:szCs w:val="20"/>
        </w:rPr>
      </w:pPr>
      <w:r>
        <w:rPr>
          <w:rFonts w:cs="Arial"/>
          <w:szCs w:val="20"/>
        </w:rPr>
        <w:t xml:space="preserve">Claim for non-preferred agents </w:t>
      </w:r>
      <w:r w:rsidRPr="003F2B35">
        <w:rPr>
          <w:rFonts w:cs="Arial"/>
          <w:bCs/>
          <w:szCs w:val="20"/>
        </w:rPr>
        <w:t>for indications other than Crohn’s disease:</w:t>
      </w:r>
    </w:p>
    <w:p w14:paraId="2410ADCC" w14:textId="77777777" w:rsidR="00AB7FC2" w:rsidRPr="006702E7" w:rsidRDefault="00AB7FC2" w:rsidP="00AB7FC2">
      <w:pPr>
        <w:numPr>
          <w:ilvl w:val="3"/>
          <w:numId w:val="18"/>
        </w:numPr>
        <w:tabs>
          <w:tab w:val="left" w:pos="1080"/>
        </w:tabs>
        <w:rPr>
          <w:rFonts w:cs="Arial"/>
          <w:szCs w:val="20"/>
        </w:rPr>
      </w:pPr>
      <w:r w:rsidRPr="006702E7">
        <w:rPr>
          <w:rFonts w:cs="Arial"/>
          <w:szCs w:val="20"/>
        </w:rPr>
        <w:t xml:space="preserve">Failure to achieve desired therapeutic outcomes with trial on </w:t>
      </w:r>
      <w:r w:rsidRPr="004E50B1">
        <w:rPr>
          <w:rFonts w:cs="Arial"/>
          <w:szCs w:val="20"/>
        </w:rPr>
        <w:t>2</w:t>
      </w:r>
      <w:r w:rsidRPr="00F67F17">
        <w:rPr>
          <w:rFonts w:cs="Arial"/>
          <w:color w:val="0070C0"/>
          <w:szCs w:val="20"/>
        </w:rPr>
        <w:t xml:space="preserve"> </w:t>
      </w:r>
      <w:r w:rsidRPr="006702E7">
        <w:rPr>
          <w:rFonts w:cs="Arial"/>
          <w:szCs w:val="20"/>
        </w:rPr>
        <w:t>or more preferred agents:</w:t>
      </w:r>
    </w:p>
    <w:p w14:paraId="2EE82AA6" w14:textId="77777777" w:rsidR="00AB7FC2" w:rsidRPr="006702E7" w:rsidRDefault="00AB7FC2" w:rsidP="00AB7FC2">
      <w:pPr>
        <w:numPr>
          <w:ilvl w:val="5"/>
          <w:numId w:val="18"/>
        </w:numPr>
        <w:ind w:left="1440"/>
        <w:rPr>
          <w:rFonts w:cs="Arial"/>
          <w:szCs w:val="20"/>
        </w:rPr>
      </w:pPr>
      <w:r w:rsidRPr="006702E7">
        <w:rPr>
          <w:rFonts w:cs="Arial"/>
          <w:szCs w:val="20"/>
        </w:rPr>
        <w:t xml:space="preserve">Documented trial period of preferred agents (6 months of therapy); </w:t>
      </w:r>
      <w:r w:rsidRPr="006702E7">
        <w:rPr>
          <w:rFonts w:cs="Arial"/>
          <w:b/>
          <w:bCs/>
          <w:szCs w:val="20"/>
        </w:rPr>
        <w:t>OR</w:t>
      </w:r>
    </w:p>
    <w:p w14:paraId="1BB8FD58" w14:textId="77777777" w:rsidR="00AB7FC2" w:rsidRPr="00272ECD" w:rsidRDefault="00AB7FC2" w:rsidP="00AB7FC2">
      <w:pPr>
        <w:numPr>
          <w:ilvl w:val="5"/>
          <w:numId w:val="18"/>
        </w:numPr>
        <w:ind w:left="1440"/>
        <w:rPr>
          <w:rFonts w:cs="Arial"/>
          <w:bCs/>
          <w:szCs w:val="20"/>
        </w:rPr>
      </w:pPr>
      <w:r w:rsidRPr="006702E7">
        <w:rPr>
          <w:rFonts w:cs="Arial"/>
          <w:szCs w:val="20"/>
        </w:rPr>
        <w:t>Documented ADE/ADR to preferred agents.</w:t>
      </w:r>
    </w:p>
    <w:p w14:paraId="22DBE70C" w14:textId="77777777" w:rsidR="00AB7FC2" w:rsidRPr="00D55C43" w:rsidRDefault="00AB7FC2" w:rsidP="00AB7FC2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documented diagnosis of </w:t>
      </w:r>
      <w:r w:rsidRPr="0055497B">
        <w:rPr>
          <w:rFonts w:cs="Arial"/>
          <w:szCs w:val="20"/>
        </w:rPr>
        <w:t xml:space="preserve">rheumatoid </w:t>
      </w:r>
      <w:r>
        <w:rPr>
          <w:rFonts w:cs="Arial"/>
          <w:szCs w:val="20"/>
        </w:rPr>
        <w:t xml:space="preserve">arthritis, polyarticular juvenile idiopathic arthritis, ulcerative colitis, ankylosing </w:t>
      </w:r>
      <w:r w:rsidRPr="0095057F">
        <w:rPr>
          <w:rFonts w:cs="Arial"/>
          <w:szCs w:val="20"/>
        </w:rPr>
        <w:t xml:space="preserve">spondylitis, non-radiographic axial spondyloarthritis, </w:t>
      </w:r>
      <w:r>
        <w:rPr>
          <w:rFonts w:cs="Arial"/>
          <w:szCs w:val="20"/>
        </w:rPr>
        <w:t xml:space="preserve">or </w:t>
      </w:r>
      <w:r w:rsidRPr="0095057F">
        <w:rPr>
          <w:rFonts w:cs="Arial"/>
          <w:szCs w:val="20"/>
        </w:rPr>
        <w:t xml:space="preserve">psoriatic </w:t>
      </w:r>
      <w:r>
        <w:rPr>
          <w:rFonts w:cs="Arial"/>
          <w:szCs w:val="20"/>
        </w:rPr>
        <w:t>arthritis:</w:t>
      </w:r>
    </w:p>
    <w:p w14:paraId="693B752C" w14:textId="77777777" w:rsidR="00AB7FC2" w:rsidRPr="00AA158C" w:rsidRDefault="00AB7FC2" w:rsidP="00AB7FC2">
      <w:pPr>
        <w:numPr>
          <w:ilvl w:val="1"/>
          <w:numId w:val="18"/>
        </w:numPr>
        <w:ind w:left="720"/>
        <w:rPr>
          <w:rFonts w:cs="Arial"/>
          <w:szCs w:val="20"/>
        </w:rPr>
      </w:pPr>
      <w:r w:rsidRPr="006B71F3">
        <w:rPr>
          <w:rFonts w:cs="Arial"/>
          <w:szCs w:val="20"/>
        </w:rPr>
        <w:t xml:space="preserve">Adequate therapeutic </w:t>
      </w:r>
      <w:proofErr w:type="gramStart"/>
      <w:r w:rsidRPr="006B71F3">
        <w:rPr>
          <w:rFonts w:cs="Arial"/>
          <w:szCs w:val="20"/>
        </w:rPr>
        <w:t>6 month</w:t>
      </w:r>
      <w:proofErr w:type="gramEnd"/>
      <w:r w:rsidRPr="006B71F3">
        <w:rPr>
          <w:rFonts w:cs="Arial"/>
          <w:szCs w:val="20"/>
        </w:rPr>
        <w:t xml:space="preserve"> trial of tumor necrosis factor (TNF) inhibitor (trial defined as duration of therapy with class not agent)</w:t>
      </w:r>
      <w:r w:rsidRPr="00176B35">
        <w:rPr>
          <w:rFonts w:cs="Arial"/>
          <w:szCs w:val="20"/>
        </w:rPr>
        <w:t xml:space="preserve"> </w:t>
      </w:r>
      <w:r w:rsidRPr="00AA158C">
        <w:rPr>
          <w:rFonts w:cs="Arial"/>
          <w:szCs w:val="20"/>
        </w:rPr>
        <w:t>or, if clinically inadvisable, at least one other approved systemic therapy.</w:t>
      </w:r>
    </w:p>
    <w:p w14:paraId="290B1392" w14:textId="77777777" w:rsidR="00AB7FC2" w:rsidRPr="00B87F3A" w:rsidRDefault="00AB7FC2" w:rsidP="00AB7FC2">
      <w:pPr>
        <w:numPr>
          <w:ilvl w:val="0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Additional approval criteria for a documented diagnosis of Crohn’s disease – 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28FA81CF" w14:textId="77777777" w:rsidR="00AB7FC2" w:rsidRDefault="00AB7FC2" w:rsidP="00AB7FC2">
      <w:pPr>
        <w:numPr>
          <w:ilvl w:val="1"/>
          <w:numId w:val="18"/>
        </w:numPr>
        <w:ind w:left="720"/>
        <w:rPr>
          <w:rFonts w:cs="Arial"/>
          <w:szCs w:val="20"/>
        </w:rPr>
      </w:pPr>
      <w:r w:rsidRPr="00014F91">
        <w:rPr>
          <w:rFonts w:cs="Arial"/>
          <w:szCs w:val="20"/>
        </w:rPr>
        <w:t xml:space="preserve">Adequate therapeutic </w:t>
      </w:r>
      <w:proofErr w:type="gramStart"/>
      <w:r w:rsidRPr="00014F91">
        <w:rPr>
          <w:rFonts w:cs="Arial"/>
          <w:szCs w:val="20"/>
        </w:rPr>
        <w:t>6 month</w:t>
      </w:r>
      <w:proofErr w:type="gramEnd"/>
      <w:r w:rsidRPr="00014F91">
        <w:rPr>
          <w:rFonts w:cs="Arial"/>
          <w:szCs w:val="20"/>
        </w:rPr>
        <w:t xml:space="preserve"> trial of TNF inhibitor (trial defined as duration of therapy with class not agent)</w:t>
      </w:r>
      <w:r>
        <w:rPr>
          <w:rFonts w:cs="Arial"/>
          <w:szCs w:val="20"/>
        </w:rPr>
        <w:t xml:space="preserve"> </w:t>
      </w:r>
      <w:r w:rsidRPr="00696C06">
        <w:rPr>
          <w:rFonts w:cs="Arial"/>
          <w:szCs w:val="20"/>
        </w:rPr>
        <w:t>or, if clinically inadvisable, at least one other approved systemic therapy; AND</w:t>
      </w:r>
    </w:p>
    <w:p w14:paraId="2D52BDC3" w14:textId="77777777" w:rsidR="00AB7FC2" w:rsidRPr="006702E7" w:rsidRDefault="00AB7FC2" w:rsidP="00AB7FC2">
      <w:pPr>
        <w:pStyle w:val="ListParagraph"/>
        <w:numPr>
          <w:ilvl w:val="1"/>
          <w:numId w:val="18"/>
        </w:numPr>
        <w:ind w:left="720"/>
        <w:rPr>
          <w:rFonts w:cs="Arial"/>
          <w:b/>
          <w:bCs/>
          <w:szCs w:val="20"/>
        </w:rPr>
      </w:pPr>
      <w:r>
        <w:rPr>
          <w:rFonts w:cs="Arial"/>
          <w:szCs w:val="20"/>
        </w:rPr>
        <w:t>Claim for non-preferred agents</w:t>
      </w:r>
      <w:r w:rsidRPr="003F2B35">
        <w:rPr>
          <w:rFonts w:cs="Arial"/>
          <w:bCs/>
          <w:szCs w:val="20"/>
        </w:rPr>
        <w:t>:</w:t>
      </w:r>
    </w:p>
    <w:p w14:paraId="5A46BA54" w14:textId="77777777" w:rsidR="00AB7FC2" w:rsidRPr="006702E7" w:rsidRDefault="00AB7FC2" w:rsidP="00AB7FC2">
      <w:pPr>
        <w:numPr>
          <w:ilvl w:val="3"/>
          <w:numId w:val="18"/>
        </w:numPr>
        <w:tabs>
          <w:tab w:val="left" w:pos="1080"/>
        </w:tabs>
        <w:rPr>
          <w:rFonts w:cs="Arial"/>
          <w:szCs w:val="20"/>
        </w:rPr>
      </w:pPr>
      <w:r w:rsidRPr="006702E7">
        <w:rPr>
          <w:rFonts w:cs="Arial"/>
          <w:szCs w:val="20"/>
        </w:rPr>
        <w:t>Failure to achieve desired therapeutic outcomes with tr</w:t>
      </w:r>
      <w:r w:rsidRPr="00435A80">
        <w:rPr>
          <w:rFonts w:cs="Arial"/>
          <w:szCs w:val="20"/>
        </w:rPr>
        <w:t xml:space="preserve">ial </w:t>
      </w:r>
      <w:r w:rsidRPr="007072E9">
        <w:rPr>
          <w:rFonts w:cs="Arial"/>
          <w:szCs w:val="20"/>
        </w:rPr>
        <w:t>on 1</w:t>
      </w:r>
      <w:r w:rsidRPr="00435A80">
        <w:rPr>
          <w:rFonts w:cs="Arial"/>
          <w:szCs w:val="20"/>
        </w:rPr>
        <w:t xml:space="preserve"> or </w:t>
      </w:r>
      <w:r w:rsidRPr="006702E7">
        <w:rPr>
          <w:rFonts w:cs="Arial"/>
          <w:szCs w:val="20"/>
        </w:rPr>
        <w:t>more preferred agents:</w:t>
      </w:r>
    </w:p>
    <w:p w14:paraId="66671635" w14:textId="77777777" w:rsidR="00AB7FC2" w:rsidRPr="00272ECD" w:rsidRDefault="00AB7FC2" w:rsidP="00AB7FC2">
      <w:pPr>
        <w:pStyle w:val="ListParagraph"/>
        <w:numPr>
          <w:ilvl w:val="0"/>
          <w:numId w:val="19"/>
        </w:numPr>
        <w:ind w:left="1440"/>
        <w:rPr>
          <w:rFonts w:cs="Arial"/>
          <w:szCs w:val="20"/>
        </w:rPr>
      </w:pPr>
      <w:r w:rsidRPr="00272ECD">
        <w:rPr>
          <w:rFonts w:cs="Arial"/>
          <w:szCs w:val="20"/>
        </w:rPr>
        <w:t xml:space="preserve">Documented trial period of preferred agents (6 months of therapy); </w:t>
      </w:r>
      <w:r w:rsidRPr="00272ECD">
        <w:rPr>
          <w:rFonts w:cs="Arial"/>
          <w:b/>
          <w:bCs/>
          <w:szCs w:val="20"/>
        </w:rPr>
        <w:t>OR</w:t>
      </w:r>
    </w:p>
    <w:p w14:paraId="1BCBEC76" w14:textId="77777777" w:rsidR="00AB7FC2" w:rsidRPr="00272ECD" w:rsidRDefault="00AB7FC2" w:rsidP="00AB7FC2">
      <w:pPr>
        <w:pStyle w:val="ListParagraph"/>
        <w:numPr>
          <w:ilvl w:val="0"/>
          <w:numId w:val="19"/>
        </w:numPr>
        <w:ind w:left="1440"/>
        <w:rPr>
          <w:rFonts w:cs="Arial"/>
          <w:szCs w:val="20"/>
        </w:rPr>
      </w:pPr>
      <w:r w:rsidRPr="001D6EA0">
        <w:rPr>
          <w:rFonts w:cs="Arial"/>
          <w:szCs w:val="20"/>
        </w:rPr>
        <w:t>Documented ADE/ADR to preferred agents.</w:t>
      </w:r>
    </w:p>
    <w:p w14:paraId="793B3258" w14:textId="77777777" w:rsidR="00AB7FC2" w:rsidRPr="00FE3B9A" w:rsidRDefault="00AB7FC2" w:rsidP="00AB7FC2">
      <w:pPr>
        <w:pStyle w:val="ListParagraph"/>
        <w:numPr>
          <w:ilvl w:val="0"/>
          <w:numId w:val="20"/>
        </w:numPr>
        <w:ind w:left="360"/>
        <w:rPr>
          <w:rFonts w:cs="Arial"/>
          <w:szCs w:val="20"/>
        </w:rPr>
      </w:pPr>
      <w:r w:rsidRPr="00FE3B9A">
        <w:rPr>
          <w:rFonts w:cs="Arial"/>
          <w:szCs w:val="20"/>
        </w:rPr>
        <w:t>Additional approval criteria for documented diagnosis of alopecia areata</w:t>
      </w:r>
      <w:r>
        <w:rPr>
          <w:rFonts w:cs="Arial"/>
          <w:szCs w:val="20"/>
        </w:rPr>
        <w:t xml:space="preserve"> – 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6F07651C" w14:textId="77777777" w:rsidR="00AB7FC2" w:rsidRPr="00066C0E" w:rsidRDefault="00AB7FC2" w:rsidP="00AB7FC2">
      <w:pPr>
        <w:numPr>
          <w:ilvl w:val="2"/>
          <w:numId w:val="18"/>
        </w:numPr>
        <w:rPr>
          <w:rFonts w:cs="Arial"/>
          <w:szCs w:val="20"/>
        </w:rPr>
      </w:pPr>
      <w:r w:rsidRPr="00A71F50">
        <w:rPr>
          <w:rFonts w:cs="Arial"/>
          <w:szCs w:val="20"/>
        </w:rPr>
        <w:t>Prescribed by or in consultation with a dermatologist, immunologist, or allergist</w:t>
      </w:r>
      <w:r>
        <w:rPr>
          <w:rFonts w:cs="Arial"/>
          <w:szCs w:val="20"/>
        </w:rPr>
        <w:t xml:space="preserve">; </w:t>
      </w:r>
      <w:r w:rsidRPr="006C383B">
        <w:rPr>
          <w:rFonts w:cs="Arial"/>
          <w:b/>
          <w:bCs/>
          <w:szCs w:val="20"/>
        </w:rPr>
        <w:t>AND</w:t>
      </w:r>
    </w:p>
    <w:p w14:paraId="09BEC8DA" w14:textId="77777777" w:rsidR="00AB7FC2" w:rsidRDefault="00AB7FC2" w:rsidP="00AB7FC2">
      <w:pPr>
        <w:numPr>
          <w:ilvl w:val="2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</w:t>
      </w:r>
      <w:r w:rsidRPr="006D385A">
        <w:rPr>
          <w:rFonts w:cs="Arial"/>
          <w:szCs w:val="20"/>
        </w:rPr>
        <w:t>:</w:t>
      </w:r>
    </w:p>
    <w:p w14:paraId="772C1966" w14:textId="77777777" w:rsidR="00AB7FC2" w:rsidRPr="00B8075D" w:rsidRDefault="00AB7FC2" w:rsidP="00AB7FC2">
      <w:pPr>
        <w:numPr>
          <w:ilvl w:val="3"/>
          <w:numId w:val="18"/>
        </w:numPr>
        <w:rPr>
          <w:rFonts w:cs="Arial"/>
          <w:szCs w:val="20"/>
        </w:rPr>
      </w:pPr>
      <w:r w:rsidRPr="00A71F50">
        <w:rPr>
          <w:rFonts w:cs="Arial"/>
          <w:szCs w:val="20"/>
        </w:rPr>
        <w:t>Aggressive pace of disease progression as assessed by the specialist</w:t>
      </w:r>
      <w:r>
        <w:rPr>
          <w:rFonts w:cs="Arial"/>
          <w:szCs w:val="20"/>
        </w:rPr>
        <w:t xml:space="preserve">; </w:t>
      </w:r>
      <w:r w:rsidRPr="00B8075D">
        <w:rPr>
          <w:rFonts w:cs="Arial"/>
          <w:b/>
          <w:bCs/>
          <w:szCs w:val="20"/>
        </w:rPr>
        <w:t>OR</w:t>
      </w:r>
    </w:p>
    <w:p w14:paraId="71D765D2" w14:textId="77777777" w:rsidR="00AB7FC2" w:rsidRDefault="00AB7FC2" w:rsidP="00AB7FC2">
      <w:pPr>
        <w:numPr>
          <w:ilvl w:val="3"/>
          <w:numId w:val="18"/>
        </w:numPr>
        <w:rPr>
          <w:rFonts w:cs="Arial"/>
          <w:szCs w:val="20"/>
        </w:rPr>
      </w:pPr>
      <w:r w:rsidRPr="00A478CF">
        <w:rPr>
          <w:rFonts w:cs="Arial"/>
          <w:szCs w:val="20"/>
        </w:rPr>
        <w:t>Adequate therapeutic trial of 1 or more of the following for at least 28 days:</w:t>
      </w:r>
    </w:p>
    <w:p w14:paraId="6F6A2E95" w14:textId="77777777" w:rsidR="00AB7FC2" w:rsidRPr="00A71F50" w:rsidRDefault="00AB7FC2" w:rsidP="00AB7FC2">
      <w:pPr>
        <w:pStyle w:val="ListParagraph"/>
        <w:numPr>
          <w:ilvl w:val="5"/>
          <w:numId w:val="18"/>
        </w:numPr>
        <w:ind w:left="1440"/>
        <w:rPr>
          <w:rFonts w:cs="Arial"/>
          <w:szCs w:val="20"/>
        </w:rPr>
      </w:pPr>
      <w:r w:rsidRPr="00A71F50">
        <w:rPr>
          <w:rFonts w:cs="Arial"/>
          <w:szCs w:val="20"/>
        </w:rPr>
        <w:t>Topical corticosteroids for alopecia areata</w:t>
      </w:r>
      <w:r>
        <w:rPr>
          <w:rFonts w:cs="Arial"/>
          <w:szCs w:val="20"/>
        </w:rPr>
        <w:t xml:space="preserve">; </w:t>
      </w:r>
      <w:r w:rsidRPr="00936924">
        <w:rPr>
          <w:rFonts w:cs="Arial"/>
          <w:b/>
          <w:bCs/>
          <w:szCs w:val="20"/>
        </w:rPr>
        <w:t>OR</w:t>
      </w:r>
    </w:p>
    <w:p w14:paraId="578A0FBA" w14:textId="77777777" w:rsidR="00AB7FC2" w:rsidRDefault="00AB7FC2" w:rsidP="00AB7FC2">
      <w:pPr>
        <w:pStyle w:val="ListParagraph"/>
        <w:numPr>
          <w:ilvl w:val="5"/>
          <w:numId w:val="18"/>
        </w:numPr>
        <w:ind w:left="1440"/>
        <w:rPr>
          <w:rFonts w:cs="Arial"/>
          <w:szCs w:val="20"/>
        </w:rPr>
      </w:pPr>
      <w:r w:rsidRPr="00A71F50">
        <w:rPr>
          <w:rFonts w:cs="Arial"/>
          <w:szCs w:val="20"/>
        </w:rPr>
        <w:t>Oral immunosuppressant for alopecia areata</w:t>
      </w:r>
      <w:r>
        <w:rPr>
          <w:rFonts w:cs="Arial"/>
          <w:szCs w:val="20"/>
        </w:rPr>
        <w:t>.</w:t>
      </w:r>
    </w:p>
    <w:p w14:paraId="668A2750" w14:textId="77777777" w:rsidR="00AB7FC2" w:rsidRPr="00361612" w:rsidRDefault="00AB7FC2" w:rsidP="00AB7FC2">
      <w:pPr>
        <w:numPr>
          <w:ilvl w:val="0"/>
          <w:numId w:val="18"/>
        </w:numPr>
        <w:rPr>
          <w:rFonts w:cs="Arial"/>
          <w:b/>
          <w:bCs/>
          <w:color w:val="0070C0"/>
          <w:szCs w:val="20"/>
        </w:rPr>
      </w:pPr>
      <w:r>
        <w:rPr>
          <w:rFonts w:cs="Arial"/>
          <w:szCs w:val="20"/>
        </w:rPr>
        <w:t xml:space="preserve">Additional approval criteria for a documented diagnosis of atopic dermatitis – 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5D13129C" w14:textId="77777777" w:rsidR="00AB7FC2" w:rsidRPr="000F4B87" w:rsidRDefault="00AB7FC2" w:rsidP="00AB7FC2">
      <w:pPr>
        <w:pStyle w:val="ListParagraph"/>
        <w:numPr>
          <w:ilvl w:val="2"/>
          <w:numId w:val="18"/>
        </w:numPr>
        <w:rPr>
          <w:rFonts w:cs="Arial"/>
          <w:szCs w:val="20"/>
        </w:rPr>
      </w:pPr>
      <w:r w:rsidRPr="00A71F50">
        <w:rPr>
          <w:rFonts w:cs="Arial"/>
          <w:szCs w:val="20"/>
        </w:rPr>
        <w:t>Prescribed by or in consultation with a dermatologist, immunologist, or allergist</w:t>
      </w:r>
      <w:r>
        <w:rPr>
          <w:rFonts w:cs="Arial"/>
          <w:szCs w:val="20"/>
        </w:rPr>
        <w:t>;</w:t>
      </w:r>
      <w:r w:rsidRPr="00A71F50">
        <w:rPr>
          <w:rFonts w:cs="Arial"/>
          <w:szCs w:val="20"/>
        </w:rPr>
        <w:t xml:space="preserve"> </w:t>
      </w:r>
      <w:r w:rsidRPr="00A71F50">
        <w:rPr>
          <w:rFonts w:cs="Arial"/>
          <w:b/>
          <w:bCs/>
          <w:szCs w:val="20"/>
        </w:rPr>
        <w:t>AND</w:t>
      </w:r>
    </w:p>
    <w:p w14:paraId="3FBDCFC0" w14:textId="77777777" w:rsidR="00AB7FC2" w:rsidRDefault="00AB7FC2" w:rsidP="00AB7FC2">
      <w:pPr>
        <w:pStyle w:val="ListParagraph"/>
        <w:numPr>
          <w:ilvl w:val="2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Failure to achieve desired therapeutic outcome with trial of 2 or more of the following classes of therapy for 60 days each (one of which must be </w:t>
      </w:r>
      <w:proofErr w:type="gramStart"/>
      <w:r>
        <w:rPr>
          <w:rFonts w:cs="Arial"/>
          <w:szCs w:val="20"/>
        </w:rPr>
        <w:t>a systemic</w:t>
      </w:r>
      <w:proofErr w:type="gramEnd"/>
      <w:r>
        <w:rPr>
          <w:rFonts w:cs="Arial"/>
          <w:szCs w:val="20"/>
        </w:rPr>
        <w:t xml:space="preserve"> therapy):</w:t>
      </w:r>
    </w:p>
    <w:p w14:paraId="6FD7D3DC" w14:textId="77777777" w:rsidR="00AB7FC2" w:rsidRPr="00A71F50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A71F50">
        <w:rPr>
          <w:rFonts w:cs="Arial"/>
          <w:szCs w:val="20"/>
        </w:rPr>
        <w:t>Topical corticosteroid</w:t>
      </w:r>
      <w:r>
        <w:rPr>
          <w:rFonts w:cs="Arial"/>
          <w:szCs w:val="20"/>
        </w:rPr>
        <w:t>;</w:t>
      </w:r>
      <w:r w:rsidRPr="00A71F50">
        <w:rPr>
          <w:rFonts w:cs="Arial"/>
          <w:szCs w:val="20"/>
        </w:rPr>
        <w:t xml:space="preserve"> </w:t>
      </w:r>
    </w:p>
    <w:p w14:paraId="45E79A54" w14:textId="77777777" w:rsidR="00AB7FC2" w:rsidRPr="00A71F50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A71F50">
        <w:rPr>
          <w:rFonts w:cs="Arial"/>
          <w:szCs w:val="20"/>
        </w:rPr>
        <w:t>Topical calcineurin Inhibitor</w:t>
      </w:r>
      <w:r>
        <w:rPr>
          <w:rFonts w:cs="Arial"/>
          <w:szCs w:val="20"/>
        </w:rPr>
        <w:t>;</w:t>
      </w:r>
      <w:r w:rsidRPr="00A71F50">
        <w:rPr>
          <w:rFonts w:cs="Arial"/>
          <w:szCs w:val="20"/>
        </w:rPr>
        <w:t xml:space="preserve"> </w:t>
      </w:r>
    </w:p>
    <w:p w14:paraId="611868A6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Topical aryl hydrocarbon receptor agonist (i.e., Vtama</w:t>
      </w:r>
      <w:r w:rsidRPr="0035247B">
        <w:rPr>
          <w:rFonts w:cs="Arial"/>
          <w:szCs w:val="20"/>
          <w:vertAlign w:val="superscript"/>
        </w:rPr>
        <w:t>®</w:t>
      </w:r>
      <w:r w:rsidRPr="0035247B">
        <w:rPr>
          <w:rFonts w:cs="Arial"/>
          <w:szCs w:val="20"/>
        </w:rPr>
        <w:t>)</w:t>
      </w:r>
    </w:p>
    <w:p w14:paraId="007383DF" w14:textId="22CDE840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 xml:space="preserve">Topical phosphodiesterase-4 (PDE-4) inhibitor (i.e., </w:t>
      </w:r>
      <w:proofErr w:type="spellStart"/>
      <w:r w:rsidRPr="0035247B">
        <w:rPr>
          <w:rFonts w:cs="Arial"/>
          <w:szCs w:val="20"/>
        </w:rPr>
        <w:t>Zoryve</w:t>
      </w:r>
      <w:proofErr w:type="spellEnd"/>
      <w:r w:rsidRPr="0035247B">
        <w:rPr>
          <w:rFonts w:cs="Arial"/>
          <w:szCs w:val="20"/>
          <w:vertAlign w:val="superscript"/>
        </w:rPr>
        <w:t>®</w:t>
      </w:r>
      <w:r w:rsidRPr="0035247B">
        <w:rPr>
          <w:rFonts w:cs="Arial"/>
          <w:szCs w:val="20"/>
        </w:rPr>
        <w:t xml:space="preserve"> cream or </w:t>
      </w:r>
      <w:proofErr w:type="spellStart"/>
      <w:r w:rsidRPr="0035247B">
        <w:rPr>
          <w:rFonts w:cs="Arial"/>
          <w:szCs w:val="20"/>
        </w:rPr>
        <w:t>Eucrisa</w:t>
      </w:r>
      <w:proofErr w:type="spellEnd"/>
      <w:r w:rsidRPr="0035247B">
        <w:rPr>
          <w:rFonts w:cs="Arial"/>
          <w:szCs w:val="20"/>
          <w:vertAlign w:val="superscript"/>
        </w:rPr>
        <w:t>®</w:t>
      </w:r>
      <w:r w:rsidRPr="0035247B">
        <w:rPr>
          <w:rFonts w:cs="Arial"/>
          <w:szCs w:val="20"/>
        </w:rPr>
        <w:t xml:space="preserve">); </w:t>
      </w:r>
    </w:p>
    <w:p w14:paraId="6A96B423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Topical JAK inhibitor (i.e., Opzelura</w:t>
      </w:r>
      <w:r w:rsidRPr="0035247B">
        <w:rPr>
          <w:rFonts w:cs="Arial"/>
          <w:szCs w:val="20"/>
          <w:vertAlign w:val="superscript"/>
        </w:rPr>
        <w:t>®</w:t>
      </w:r>
      <w:r w:rsidRPr="0035247B">
        <w:rPr>
          <w:rFonts w:cs="Arial"/>
          <w:szCs w:val="20"/>
        </w:rPr>
        <w:t>)</w:t>
      </w:r>
    </w:p>
    <w:p w14:paraId="3289906A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IL-4 receptor alpha antagonist (i.e., Dupixent</w:t>
      </w:r>
      <w:r w:rsidRPr="0035247B">
        <w:rPr>
          <w:rFonts w:cs="Arial"/>
          <w:szCs w:val="20"/>
          <w:vertAlign w:val="superscript"/>
        </w:rPr>
        <w:t>®</w:t>
      </w:r>
      <w:r w:rsidRPr="0035247B">
        <w:rPr>
          <w:rFonts w:cs="Arial"/>
          <w:szCs w:val="20"/>
        </w:rPr>
        <w:t>);</w:t>
      </w:r>
    </w:p>
    <w:p w14:paraId="6275EE73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IL-13 antagonist (i.e., Adbry</w:t>
      </w:r>
      <w:r w:rsidRPr="0035247B">
        <w:rPr>
          <w:rFonts w:cs="Arial"/>
          <w:szCs w:val="20"/>
          <w:vertAlign w:val="superscript"/>
        </w:rPr>
        <w:t>®</w:t>
      </w:r>
      <w:r w:rsidRPr="0035247B">
        <w:rPr>
          <w:rFonts w:cs="Arial"/>
          <w:szCs w:val="20"/>
        </w:rPr>
        <w:t xml:space="preserve"> or Ebglyss</w:t>
      </w:r>
      <w:r w:rsidRPr="0035247B">
        <w:rPr>
          <w:rFonts w:cs="Arial"/>
          <w:szCs w:val="20"/>
          <w:vertAlign w:val="superscript"/>
        </w:rPr>
        <w:t>™</w:t>
      </w:r>
      <w:r w:rsidRPr="0035247B">
        <w:rPr>
          <w:rFonts w:cs="Arial"/>
          <w:szCs w:val="20"/>
        </w:rPr>
        <w:t>);</w:t>
      </w:r>
    </w:p>
    <w:p w14:paraId="6149979A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  <w:lang w:val="it-IT"/>
        </w:rPr>
      </w:pPr>
      <w:r w:rsidRPr="0035247B">
        <w:rPr>
          <w:rFonts w:cs="Arial"/>
          <w:szCs w:val="20"/>
          <w:lang w:val="it-IT"/>
        </w:rPr>
        <w:t>IL-31 receptor antagonist (i.e., Nemluvio</w:t>
      </w:r>
      <w:r w:rsidRPr="0035247B">
        <w:rPr>
          <w:rFonts w:cs="Arial"/>
          <w:szCs w:val="20"/>
          <w:vertAlign w:val="superscript"/>
          <w:lang w:val="it-IT"/>
        </w:rPr>
        <w:t>™</w:t>
      </w:r>
      <w:r w:rsidRPr="0035247B">
        <w:rPr>
          <w:rFonts w:cs="Arial"/>
          <w:szCs w:val="20"/>
          <w:lang w:val="it-IT"/>
        </w:rPr>
        <w:t>);</w:t>
      </w:r>
    </w:p>
    <w:p w14:paraId="5F49E960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Phototherapy;</w:t>
      </w:r>
    </w:p>
    <w:p w14:paraId="318B0070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 xml:space="preserve">Oral corticosteroid for the treatment of atopic dermatitis; </w:t>
      </w:r>
      <w:r w:rsidRPr="0035247B">
        <w:rPr>
          <w:rFonts w:cs="Arial"/>
          <w:b/>
          <w:bCs/>
          <w:szCs w:val="20"/>
        </w:rPr>
        <w:t>OR</w:t>
      </w:r>
    </w:p>
    <w:p w14:paraId="3C9C8621" w14:textId="77777777" w:rsidR="00AB7FC2" w:rsidRPr="0035247B" w:rsidRDefault="00AB7FC2" w:rsidP="00AB7FC2">
      <w:pPr>
        <w:pStyle w:val="ListParagraph"/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Oral immunosuppressant for the treatment of atopic dermatitis.</w:t>
      </w:r>
    </w:p>
    <w:p w14:paraId="5BD277BA" w14:textId="77777777" w:rsidR="00AB7FC2" w:rsidRPr="0035247B" w:rsidRDefault="00AB7FC2" w:rsidP="00AB7FC2">
      <w:pPr>
        <w:numPr>
          <w:ilvl w:val="0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Additional approval criteria for a documented diagnosis of giant cell arteritis:</w:t>
      </w:r>
    </w:p>
    <w:p w14:paraId="34480F4F" w14:textId="77777777" w:rsidR="00AB7FC2" w:rsidRPr="0035247B" w:rsidRDefault="00AB7FC2" w:rsidP="00AB7FC2">
      <w:pPr>
        <w:pStyle w:val="ListParagraph"/>
        <w:numPr>
          <w:ilvl w:val="2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Claim is for a preferred agent.</w:t>
      </w:r>
    </w:p>
    <w:p w14:paraId="4B802363" w14:textId="77777777" w:rsidR="00AB7FC2" w:rsidRPr="00CB2850" w:rsidRDefault="00AB7FC2" w:rsidP="00AB7FC2">
      <w:pPr>
        <w:numPr>
          <w:ilvl w:val="0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 xml:space="preserve">Additional approval criteria for Xeljanz </w:t>
      </w:r>
      <w:r w:rsidRPr="007747BD">
        <w:rPr>
          <w:rFonts w:cs="Arial"/>
          <w:szCs w:val="20"/>
        </w:rPr>
        <w:t>XR</w:t>
      </w:r>
      <w:r w:rsidRPr="007747BD">
        <w:rPr>
          <w:rFonts w:cs="Arial"/>
          <w:b/>
          <w:bCs/>
          <w:szCs w:val="20"/>
        </w:rPr>
        <w:t xml:space="preserve"> </w:t>
      </w:r>
      <w:r w:rsidRPr="00CB2850">
        <w:rPr>
          <w:rFonts w:cs="Arial"/>
          <w:szCs w:val="20"/>
        </w:rPr>
        <w:t>22 mg tablets:</w:t>
      </w:r>
    </w:p>
    <w:p w14:paraId="0DDA7711" w14:textId="77777777" w:rsidR="00AB7FC2" w:rsidRPr="00CB2850" w:rsidRDefault="00AB7FC2" w:rsidP="00AB7FC2">
      <w:pPr>
        <w:numPr>
          <w:ilvl w:val="1"/>
          <w:numId w:val="18"/>
        </w:numPr>
        <w:ind w:left="720"/>
        <w:rPr>
          <w:rFonts w:cs="Arial"/>
          <w:szCs w:val="20"/>
        </w:rPr>
      </w:pPr>
      <w:r w:rsidRPr="00CB2850">
        <w:rPr>
          <w:rFonts w:cs="Arial"/>
          <w:szCs w:val="20"/>
        </w:rPr>
        <w:t>Clinical Consultant Review for medical necessity and reason why participant cannot utilize Xeljanz IR or Xeljanz XR 11 mg tablets:</w:t>
      </w:r>
    </w:p>
    <w:p w14:paraId="11168272" w14:textId="77777777" w:rsidR="00AB7FC2" w:rsidRDefault="00AB7FC2" w:rsidP="00AB7FC2">
      <w:pPr>
        <w:numPr>
          <w:ilvl w:val="0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>Additional approval criteria for Xeljanz solution</w:t>
      </w:r>
    </w:p>
    <w:p w14:paraId="27971CE4" w14:textId="77777777" w:rsidR="00AB7FC2" w:rsidRDefault="00AB7FC2" w:rsidP="00AB7FC2">
      <w:pPr>
        <w:numPr>
          <w:ilvl w:val="1"/>
          <w:numId w:val="18"/>
        </w:numPr>
        <w:ind w:left="720"/>
        <w:rPr>
          <w:rFonts w:cs="Arial"/>
          <w:szCs w:val="20"/>
        </w:rPr>
      </w:pPr>
      <w:r>
        <w:rPr>
          <w:rFonts w:cs="Arial"/>
          <w:szCs w:val="20"/>
        </w:rPr>
        <w:t>Clinical Consultant Review for participants aged 10 years or older.</w:t>
      </w:r>
    </w:p>
    <w:p w14:paraId="6B3C299F" w14:textId="77777777" w:rsidR="00AB7FC2" w:rsidRPr="0035247B" w:rsidRDefault="00AB7FC2" w:rsidP="00AB7FC2">
      <w:pPr>
        <w:numPr>
          <w:ilvl w:val="0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lastRenderedPageBreak/>
        <w:t>Additional approval criteria for Rinvoq LQ solution:</w:t>
      </w:r>
    </w:p>
    <w:p w14:paraId="7E15ADF2" w14:textId="77777777" w:rsidR="00AB7FC2" w:rsidRPr="0035247B" w:rsidRDefault="00AB7FC2" w:rsidP="00AB7FC2">
      <w:pPr>
        <w:numPr>
          <w:ilvl w:val="1"/>
          <w:numId w:val="18"/>
        </w:numPr>
        <w:ind w:left="720"/>
        <w:rPr>
          <w:rFonts w:cs="Arial"/>
          <w:szCs w:val="20"/>
        </w:rPr>
      </w:pPr>
      <w:r w:rsidRPr="0035247B">
        <w:rPr>
          <w:rFonts w:cs="Arial"/>
          <w:szCs w:val="20"/>
        </w:rPr>
        <w:t>Adequate therapeutic trial of Xeljanz solution.</w:t>
      </w:r>
    </w:p>
    <w:p w14:paraId="20BF206A" w14:textId="77777777" w:rsidR="00AB7FC2" w:rsidRPr="0035247B" w:rsidRDefault="00AB7FC2" w:rsidP="00AB7FC2">
      <w:pPr>
        <w:numPr>
          <w:ilvl w:val="1"/>
          <w:numId w:val="18"/>
        </w:numPr>
        <w:ind w:left="720"/>
        <w:rPr>
          <w:rFonts w:cs="Arial"/>
          <w:szCs w:val="20"/>
        </w:rPr>
      </w:pPr>
      <w:r w:rsidRPr="0035247B">
        <w:rPr>
          <w:rFonts w:cs="Arial"/>
          <w:szCs w:val="20"/>
        </w:rPr>
        <w:t>Additional approval criteria for participants aged 10 years or older:</w:t>
      </w:r>
    </w:p>
    <w:p w14:paraId="5F4B53F4" w14:textId="77777777" w:rsidR="00AB7FC2" w:rsidRPr="0035247B" w:rsidRDefault="00AB7FC2" w:rsidP="00AB7FC2">
      <w:pPr>
        <w:numPr>
          <w:ilvl w:val="3"/>
          <w:numId w:val="18"/>
        </w:numPr>
        <w:rPr>
          <w:rFonts w:cs="Arial"/>
          <w:szCs w:val="20"/>
        </w:rPr>
      </w:pPr>
      <w:r w:rsidRPr="0035247B">
        <w:rPr>
          <w:rFonts w:cs="Arial"/>
          <w:szCs w:val="20"/>
        </w:rPr>
        <w:t>Clinical Consultant Review.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>Therapy will deny with presence of one of the following:</w:t>
      </w:r>
    </w:p>
    <w:p w14:paraId="34DD01B8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Claim exceeds maximum dosing limitations: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3417"/>
        <w:gridCol w:w="3418"/>
        <w:gridCol w:w="2515"/>
      </w:tblGrid>
      <w:tr w:rsidR="005563A1" w:rsidRPr="00C02553" w14:paraId="0D225BEA" w14:textId="77777777" w:rsidTr="005563A1">
        <w:trPr>
          <w:trHeight w:val="276"/>
        </w:trPr>
        <w:tc>
          <w:tcPr>
            <w:tcW w:w="3417" w:type="dxa"/>
            <w:shd w:val="clear" w:color="auto" w:fill="FABF8F"/>
            <w:vAlign w:val="center"/>
          </w:tcPr>
          <w:p w14:paraId="4AABAF42" w14:textId="77777777" w:rsidR="005563A1" w:rsidRPr="00C02553" w:rsidRDefault="005563A1" w:rsidP="005563A1">
            <w:pPr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3418" w:type="dxa"/>
            <w:shd w:val="clear" w:color="auto" w:fill="FABF8F"/>
            <w:vAlign w:val="center"/>
          </w:tcPr>
          <w:p w14:paraId="376F57B6" w14:textId="77777777" w:rsidR="005563A1" w:rsidRPr="00C02553" w:rsidRDefault="005563A1" w:rsidP="005563A1">
            <w:pPr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  <w:tc>
          <w:tcPr>
            <w:tcW w:w="2515" w:type="dxa"/>
            <w:shd w:val="clear" w:color="auto" w:fill="FABF8F"/>
            <w:vAlign w:val="center"/>
          </w:tcPr>
          <w:p w14:paraId="4584A7B3" w14:textId="77777777" w:rsidR="005563A1" w:rsidRPr="00C02553" w:rsidRDefault="005563A1" w:rsidP="005563A1">
            <w:pPr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Max Dosing Limitation</w:t>
            </w:r>
          </w:p>
        </w:tc>
      </w:tr>
      <w:tr w:rsidR="005563A1" w:rsidRPr="00C02553" w14:paraId="4B68AABC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7A2CEA55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A71F50">
              <w:rPr>
                <w:rFonts w:cs="Arial"/>
                <w:bCs/>
                <w:noProof/>
              </w:rPr>
              <w:t>CIBINQO 100 MG TABLET</w:t>
            </w:r>
          </w:p>
        </w:tc>
        <w:tc>
          <w:tcPr>
            <w:tcW w:w="3418" w:type="dxa"/>
            <w:vAlign w:val="center"/>
          </w:tcPr>
          <w:p w14:paraId="2826C647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A71F50">
              <w:rPr>
                <w:rFonts w:cs="Arial"/>
                <w:bCs/>
                <w:noProof/>
              </w:rPr>
              <w:t>ABROCITINIB</w:t>
            </w:r>
          </w:p>
        </w:tc>
        <w:tc>
          <w:tcPr>
            <w:tcW w:w="2515" w:type="dxa"/>
            <w:vAlign w:val="center"/>
          </w:tcPr>
          <w:p w14:paraId="72914DF5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A71F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0B8CB371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096ADC85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A71F50">
              <w:rPr>
                <w:rFonts w:cs="Arial"/>
                <w:bCs/>
                <w:noProof/>
              </w:rPr>
              <w:t>CIBINQO 200 MG TABLET</w:t>
            </w:r>
          </w:p>
        </w:tc>
        <w:tc>
          <w:tcPr>
            <w:tcW w:w="3418" w:type="dxa"/>
            <w:vAlign w:val="center"/>
          </w:tcPr>
          <w:p w14:paraId="639A9535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A71F50">
              <w:rPr>
                <w:rFonts w:cs="Arial"/>
                <w:bCs/>
                <w:noProof/>
              </w:rPr>
              <w:t>ABROCITINIB</w:t>
            </w:r>
          </w:p>
        </w:tc>
        <w:tc>
          <w:tcPr>
            <w:tcW w:w="2515" w:type="dxa"/>
            <w:vAlign w:val="center"/>
          </w:tcPr>
          <w:p w14:paraId="3C5B099D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A71F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009D205D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2FCC9CA4" w14:textId="77777777" w:rsidR="005563A1" w:rsidRPr="00F730BA" w:rsidRDefault="005563A1" w:rsidP="005563A1">
            <w:pPr>
              <w:rPr>
                <w:rFonts w:cs="Arial"/>
                <w:szCs w:val="20"/>
              </w:rPr>
            </w:pPr>
            <w:r w:rsidRPr="00A71F50">
              <w:rPr>
                <w:rFonts w:cs="Arial"/>
                <w:bCs/>
                <w:noProof/>
              </w:rPr>
              <w:t>CIBINQO 50 MG TABLET</w:t>
            </w:r>
          </w:p>
        </w:tc>
        <w:tc>
          <w:tcPr>
            <w:tcW w:w="3418" w:type="dxa"/>
            <w:vAlign w:val="center"/>
          </w:tcPr>
          <w:p w14:paraId="57A207F5" w14:textId="77777777" w:rsidR="005563A1" w:rsidRPr="00F730BA" w:rsidRDefault="005563A1" w:rsidP="005563A1">
            <w:pPr>
              <w:rPr>
                <w:rFonts w:cs="Arial"/>
                <w:caps/>
                <w:szCs w:val="20"/>
              </w:rPr>
            </w:pPr>
            <w:r w:rsidRPr="00A71F50">
              <w:rPr>
                <w:rFonts w:cs="Arial"/>
                <w:bCs/>
                <w:noProof/>
              </w:rPr>
              <w:t>ABROCITINIB</w:t>
            </w:r>
          </w:p>
        </w:tc>
        <w:tc>
          <w:tcPr>
            <w:tcW w:w="2515" w:type="dxa"/>
            <w:vAlign w:val="center"/>
          </w:tcPr>
          <w:p w14:paraId="7E182DAC" w14:textId="77777777" w:rsidR="005563A1" w:rsidRPr="00F730BA" w:rsidRDefault="005563A1" w:rsidP="005563A1">
            <w:pPr>
              <w:rPr>
                <w:rFonts w:cs="Arial"/>
                <w:szCs w:val="20"/>
              </w:rPr>
            </w:pPr>
            <w:r w:rsidRPr="00A71F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63BBCBE4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26EF5372" w14:textId="77777777" w:rsidR="005563A1" w:rsidRPr="004F774F" w:rsidRDefault="005563A1" w:rsidP="005563A1">
            <w:pPr>
              <w:rPr>
                <w:rFonts w:cs="Arial"/>
                <w:b/>
                <w:noProof/>
                <w:color w:val="1F497D" w:themeColor="text2"/>
              </w:rPr>
            </w:pPr>
            <w:r w:rsidRPr="004F774F">
              <w:rPr>
                <w:rFonts w:cs="Arial"/>
                <w:b/>
                <w:noProof/>
                <w:color w:val="1F497D" w:themeColor="text2"/>
              </w:rPr>
              <w:t>LEQSELVI 8 MG TABLET</w:t>
            </w:r>
          </w:p>
        </w:tc>
        <w:tc>
          <w:tcPr>
            <w:tcW w:w="3418" w:type="dxa"/>
            <w:vAlign w:val="center"/>
          </w:tcPr>
          <w:p w14:paraId="46611714" w14:textId="77777777" w:rsidR="005563A1" w:rsidRPr="004F774F" w:rsidRDefault="005563A1" w:rsidP="005563A1">
            <w:pPr>
              <w:rPr>
                <w:rFonts w:cs="Arial"/>
                <w:b/>
                <w:color w:val="1F497D" w:themeColor="text2"/>
                <w:szCs w:val="20"/>
              </w:rPr>
            </w:pPr>
            <w:r w:rsidRPr="004F774F">
              <w:rPr>
                <w:rFonts w:cs="Arial"/>
                <w:b/>
                <w:color w:val="1F497D" w:themeColor="text2"/>
                <w:szCs w:val="20"/>
              </w:rPr>
              <w:t>DEURUXOLITINIB PHOSPHATE</w:t>
            </w:r>
          </w:p>
        </w:tc>
        <w:tc>
          <w:tcPr>
            <w:tcW w:w="2515" w:type="dxa"/>
            <w:vAlign w:val="center"/>
          </w:tcPr>
          <w:p w14:paraId="15BF375E" w14:textId="77777777" w:rsidR="005563A1" w:rsidRPr="004F774F" w:rsidRDefault="005563A1" w:rsidP="005563A1">
            <w:pPr>
              <w:rPr>
                <w:rFonts w:cs="Arial"/>
                <w:b/>
                <w:noProof/>
                <w:color w:val="1F497D" w:themeColor="text2"/>
              </w:rPr>
            </w:pPr>
            <w:r w:rsidRPr="004F774F">
              <w:rPr>
                <w:rFonts w:cs="Arial"/>
                <w:b/>
                <w:noProof/>
                <w:color w:val="1F497D" w:themeColor="text2"/>
              </w:rPr>
              <w:t>2 tablets per day</w:t>
            </w:r>
          </w:p>
        </w:tc>
      </w:tr>
      <w:tr w:rsidR="005563A1" w:rsidRPr="00C02553" w14:paraId="7FADD01D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3689D341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LITFULO 50 MG CAPSULE</w:t>
            </w:r>
          </w:p>
        </w:tc>
        <w:tc>
          <w:tcPr>
            <w:tcW w:w="3418" w:type="dxa"/>
            <w:vAlign w:val="center"/>
          </w:tcPr>
          <w:p w14:paraId="607A2DE4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RITLECITINIB</w:t>
            </w:r>
          </w:p>
        </w:tc>
        <w:tc>
          <w:tcPr>
            <w:tcW w:w="2515" w:type="dxa"/>
            <w:vAlign w:val="center"/>
          </w:tcPr>
          <w:p w14:paraId="4A3F7665" w14:textId="77777777" w:rsidR="005563A1" w:rsidRPr="00A71F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1 capsule per day</w:t>
            </w:r>
          </w:p>
        </w:tc>
      </w:tr>
      <w:tr w:rsidR="005563A1" w:rsidRPr="00C02553" w14:paraId="7A21E953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4A15D70E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OLUMIANT 1 MG TABLET</w:t>
            </w:r>
          </w:p>
        </w:tc>
        <w:tc>
          <w:tcPr>
            <w:tcW w:w="3418" w:type="dxa"/>
            <w:vAlign w:val="center"/>
          </w:tcPr>
          <w:p w14:paraId="42E80AEE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BARICITINIB</w:t>
            </w:r>
          </w:p>
        </w:tc>
        <w:tc>
          <w:tcPr>
            <w:tcW w:w="2515" w:type="dxa"/>
            <w:vAlign w:val="center"/>
          </w:tcPr>
          <w:p w14:paraId="5AF813F1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1CB00536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0201211F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 xml:space="preserve">OLUMIANT 2 MG TABLET </w:t>
            </w:r>
          </w:p>
        </w:tc>
        <w:tc>
          <w:tcPr>
            <w:tcW w:w="3418" w:type="dxa"/>
            <w:vAlign w:val="center"/>
          </w:tcPr>
          <w:p w14:paraId="0060616E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BARICITINIB</w:t>
            </w:r>
          </w:p>
        </w:tc>
        <w:tc>
          <w:tcPr>
            <w:tcW w:w="2515" w:type="dxa"/>
            <w:vAlign w:val="center"/>
          </w:tcPr>
          <w:p w14:paraId="0C86712A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73EDAF03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27C4B19C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 xml:space="preserve">OLUMIANT 4 MG TABLET </w:t>
            </w:r>
          </w:p>
        </w:tc>
        <w:tc>
          <w:tcPr>
            <w:tcW w:w="3418" w:type="dxa"/>
            <w:vAlign w:val="center"/>
          </w:tcPr>
          <w:p w14:paraId="3FDE6D40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BARICITINIB</w:t>
            </w:r>
          </w:p>
        </w:tc>
        <w:tc>
          <w:tcPr>
            <w:tcW w:w="2515" w:type="dxa"/>
            <w:vAlign w:val="center"/>
          </w:tcPr>
          <w:p w14:paraId="5311FB97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68C4AA7E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005FFA28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RINVOQ ER 15 MG TABLET</w:t>
            </w:r>
          </w:p>
        </w:tc>
        <w:tc>
          <w:tcPr>
            <w:tcW w:w="3418" w:type="dxa"/>
            <w:vAlign w:val="center"/>
          </w:tcPr>
          <w:p w14:paraId="7D0C91F1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UPADACITINIB</w:t>
            </w:r>
          </w:p>
        </w:tc>
        <w:tc>
          <w:tcPr>
            <w:tcW w:w="2515" w:type="dxa"/>
            <w:vAlign w:val="center"/>
          </w:tcPr>
          <w:p w14:paraId="6647BA58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200CB005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5BCD8C86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</w:rPr>
              <w:t>RINVOQ ER 30 MG TABLET</w:t>
            </w:r>
          </w:p>
        </w:tc>
        <w:tc>
          <w:tcPr>
            <w:tcW w:w="3418" w:type="dxa"/>
            <w:vAlign w:val="center"/>
          </w:tcPr>
          <w:p w14:paraId="7794C7F8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</w:rPr>
              <w:t>UPADACITINIB</w:t>
            </w:r>
          </w:p>
        </w:tc>
        <w:tc>
          <w:tcPr>
            <w:tcW w:w="2515" w:type="dxa"/>
            <w:vAlign w:val="center"/>
          </w:tcPr>
          <w:p w14:paraId="21C86663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1 tablet per day</w:t>
            </w:r>
          </w:p>
        </w:tc>
      </w:tr>
      <w:tr w:rsidR="005563A1" w:rsidRPr="00C02553" w14:paraId="183E59FC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21C9714E" w14:textId="77777777" w:rsidR="005563A1" w:rsidRPr="00CB2850" w:rsidRDefault="005563A1" w:rsidP="005563A1">
            <w:pPr>
              <w:rPr>
                <w:rFonts w:cs="Arial"/>
                <w:bCs/>
              </w:rPr>
            </w:pPr>
            <w:r w:rsidRPr="00CB2850">
              <w:rPr>
                <w:rFonts w:cs="Arial"/>
                <w:bCs/>
                <w:caps/>
              </w:rPr>
              <w:t>rinvoq er 45 mg TABLET</w:t>
            </w:r>
          </w:p>
        </w:tc>
        <w:tc>
          <w:tcPr>
            <w:tcW w:w="3418" w:type="dxa"/>
            <w:vAlign w:val="center"/>
          </w:tcPr>
          <w:p w14:paraId="480C8DBC" w14:textId="77777777" w:rsidR="005563A1" w:rsidRPr="00CB2850" w:rsidRDefault="005563A1" w:rsidP="005563A1">
            <w:pPr>
              <w:rPr>
                <w:rFonts w:cs="Arial"/>
                <w:bCs/>
              </w:rPr>
            </w:pPr>
            <w:r w:rsidRPr="00CB2850">
              <w:rPr>
                <w:rFonts w:cs="Arial"/>
                <w:bCs/>
                <w:caps/>
              </w:rPr>
              <w:t>upadacitinib</w:t>
            </w:r>
          </w:p>
        </w:tc>
        <w:tc>
          <w:tcPr>
            <w:tcW w:w="2515" w:type="dxa"/>
            <w:vAlign w:val="center"/>
          </w:tcPr>
          <w:p w14:paraId="24A63B51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84 tablets every 365 days</w:t>
            </w:r>
          </w:p>
        </w:tc>
      </w:tr>
      <w:tr w:rsidR="005563A1" w:rsidRPr="00C02553" w14:paraId="420CC82E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2B0EDDEF" w14:textId="77777777" w:rsidR="005563A1" w:rsidRPr="00CB2850" w:rsidRDefault="005563A1" w:rsidP="005563A1">
            <w:pPr>
              <w:rPr>
                <w:rFonts w:cs="Arial"/>
                <w:bCs/>
                <w:caps/>
              </w:rPr>
            </w:pPr>
            <w:r w:rsidRPr="0035247B">
              <w:rPr>
                <w:rFonts w:cs="Arial"/>
                <w:szCs w:val="20"/>
              </w:rPr>
              <w:t>RINVOQ LQ 1 MG/ML SOLUTION</w:t>
            </w:r>
          </w:p>
        </w:tc>
        <w:tc>
          <w:tcPr>
            <w:tcW w:w="3418" w:type="dxa"/>
            <w:vAlign w:val="center"/>
          </w:tcPr>
          <w:p w14:paraId="7464D4F1" w14:textId="77777777" w:rsidR="005563A1" w:rsidRPr="00CB2850" w:rsidRDefault="005563A1" w:rsidP="005563A1">
            <w:pPr>
              <w:rPr>
                <w:rFonts w:cs="Arial"/>
                <w:bCs/>
                <w:caps/>
              </w:rPr>
            </w:pPr>
            <w:r w:rsidRPr="0035247B">
              <w:rPr>
                <w:rFonts w:cs="Arial"/>
                <w:caps/>
              </w:rPr>
              <w:t>upadacitinib</w:t>
            </w:r>
          </w:p>
        </w:tc>
        <w:tc>
          <w:tcPr>
            <w:tcW w:w="2515" w:type="dxa"/>
            <w:vAlign w:val="center"/>
          </w:tcPr>
          <w:p w14:paraId="5B4A0774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35247B">
              <w:rPr>
                <w:rFonts w:cs="Arial"/>
                <w:noProof/>
              </w:rPr>
              <w:t>12 mL per day</w:t>
            </w:r>
          </w:p>
        </w:tc>
      </w:tr>
      <w:tr w:rsidR="005563A1" w:rsidRPr="00C02553" w14:paraId="7FC21463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7F685AC8" w14:textId="77777777" w:rsidR="005563A1" w:rsidRPr="0035247B" w:rsidRDefault="005563A1" w:rsidP="005563A1">
            <w:pPr>
              <w:rPr>
                <w:rFonts w:cs="Arial"/>
                <w:szCs w:val="20"/>
              </w:rPr>
            </w:pPr>
            <w:r w:rsidRPr="00CB2850">
              <w:rPr>
                <w:rFonts w:cs="Arial"/>
                <w:bCs/>
                <w:noProof/>
              </w:rPr>
              <w:t>XELJANZ 1 MG/ML SOLUTION</w:t>
            </w:r>
          </w:p>
        </w:tc>
        <w:tc>
          <w:tcPr>
            <w:tcW w:w="3418" w:type="dxa"/>
            <w:vAlign w:val="center"/>
          </w:tcPr>
          <w:p w14:paraId="616FB532" w14:textId="77777777" w:rsidR="005563A1" w:rsidRPr="0035247B" w:rsidRDefault="005563A1" w:rsidP="005563A1">
            <w:pPr>
              <w:rPr>
                <w:rFonts w:cs="Arial"/>
                <w:caps/>
              </w:rPr>
            </w:pPr>
            <w:r w:rsidRPr="00CB2850">
              <w:rPr>
                <w:rFonts w:cs="Arial"/>
                <w:bCs/>
                <w:noProof/>
              </w:rPr>
              <w:t>TOFACITINIB CITRATE</w:t>
            </w:r>
          </w:p>
        </w:tc>
        <w:tc>
          <w:tcPr>
            <w:tcW w:w="2515" w:type="dxa"/>
            <w:vAlign w:val="center"/>
          </w:tcPr>
          <w:p w14:paraId="158739D3" w14:textId="77777777" w:rsidR="005563A1" w:rsidRPr="0035247B" w:rsidRDefault="005563A1" w:rsidP="005563A1">
            <w:pPr>
              <w:rPr>
                <w:rFonts w:cs="Arial"/>
                <w:noProof/>
              </w:rPr>
            </w:pPr>
            <w:r w:rsidRPr="00CB2850">
              <w:rPr>
                <w:rFonts w:cs="Arial"/>
                <w:bCs/>
                <w:noProof/>
              </w:rPr>
              <w:t>10 mL per day</w:t>
            </w:r>
          </w:p>
        </w:tc>
      </w:tr>
      <w:tr w:rsidR="005563A1" w:rsidRPr="00C02553" w14:paraId="0EB5B9D8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539517C5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XELJANZ 10 MG TABLET</w:t>
            </w:r>
          </w:p>
        </w:tc>
        <w:tc>
          <w:tcPr>
            <w:tcW w:w="3418" w:type="dxa"/>
            <w:vAlign w:val="center"/>
          </w:tcPr>
          <w:p w14:paraId="19BDB982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TOFACITINIB CITRATE</w:t>
            </w:r>
          </w:p>
        </w:tc>
        <w:tc>
          <w:tcPr>
            <w:tcW w:w="2515" w:type="dxa"/>
            <w:vAlign w:val="center"/>
          </w:tcPr>
          <w:p w14:paraId="1E827B02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2 tablets per day</w:t>
            </w:r>
          </w:p>
        </w:tc>
      </w:tr>
      <w:tr w:rsidR="005563A1" w:rsidRPr="00C02553" w14:paraId="49E09A7E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6CA75D32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XELJANZ 5 MG TABLET</w:t>
            </w:r>
          </w:p>
        </w:tc>
        <w:tc>
          <w:tcPr>
            <w:tcW w:w="3418" w:type="dxa"/>
            <w:vAlign w:val="center"/>
          </w:tcPr>
          <w:p w14:paraId="6BAF3D2C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TOFACITINIB CITRATE</w:t>
            </w:r>
          </w:p>
        </w:tc>
        <w:tc>
          <w:tcPr>
            <w:tcW w:w="2515" w:type="dxa"/>
            <w:vAlign w:val="center"/>
          </w:tcPr>
          <w:p w14:paraId="3CCAC47C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2 tablets per day</w:t>
            </w:r>
          </w:p>
        </w:tc>
      </w:tr>
      <w:tr w:rsidR="005563A1" w:rsidRPr="00C02553" w14:paraId="01C465B3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4893BE9F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XELJANZ XR 11 MG TABLET</w:t>
            </w:r>
          </w:p>
        </w:tc>
        <w:tc>
          <w:tcPr>
            <w:tcW w:w="3418" w:type="dxa"/>
            <w:vAlign w:val="center"/>
          </w:tcPr>
          <w:p w14:paraId="6704B459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TOFACITINIB CITRATE</w:t>
            </w:r>
          </w:p>
        </w:tc>
        <w:tc>
          <w:tcPr>
            <w:tcW w:w="2515" w:type="dxa"/>
            <w:vAlign w:val="center"/>
          </w:tcPr>
          <w:p w14:paraId="3A87AB53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CB2850">
              <w:rPr>
                <w:rFonts w:cs="Arial"/>
                <w:bCs/>
                <w:noProof/>
              </w:rPr>
              <w:t>2 tablets per day</w:t>
            </w:r>
          </w:p>
        </w:tc>
      </w:tr>
      <w:tr w:rsidR="005563A1" w:rsidRPr="00C02553" w14:paraId="6679AC20" w14:textId="77777777" w:rsidTr="005563A1">
        <w:trPr>
          <w:trHeight w:val="276"/>
        </w:trPr>
        <w:tc>
          <w:tcPr>
            <w:tcW w:w="3417" w:type="dxa"/>
            <w:vAlign w:val="center"/>
          </w:tcPr>
          <w:p w14:paraId="667E2FA2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3C7400">
              <w:rPr>
                <w:rFonts w:cs="Arial"/>
                <w:bCs/>
                <w:noProof/>
              </w:rPr>
              <w:t xml:space="preserve">XELJANZ XR 22 MG TABLET </w:t>
            </w:r>
          </w:p>
        </w:tc>
        <w:tc>
          <w:tcPr>
            <w:tcW w:w="3418" w:type="dxa"/>
            <w:vAlign w:val="center"/>
          </w:tcPr>
          <w:p w14:paraId="11F64F1F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3C7400">
              <w:rPr>
                <w:rFonts w:cs="Arial"/>
                <w:bCs/>
                <w:noProof/>
              </w:rPr>
              <w:t>TOFACITINIB CITRATE</w:t>
            </w:r>
          </w:p>
        </w:tc>
        <w:tc>
          <w:tcPr>
            <w:tcW w:w="2515" w:type="dxa"/>
            <w:vAlign w:val="center"/>
          </w:tcPr>
          <w:p w14:paraId="314606A5" w14:textId="77777777" w:rsidR="005563A1" w:rsidRPr="00CB2850" w:rsidRDefault="005563A1" w:rsidP="005563A1">
            <w:pPr>
              <w:rPr>
                <w:rFonts w:cs="Arial"/>
                <w:bCs/>
                <w:noProof/>
              </w:rPr>
            </w:pPr>
            <w:r w:rsidRPr="003C7400">
              <w:rPr>
                <w:rFonts w:cs="Arial"/>
                <w:bCs/>
                <w:noProof/>
              </w:rPr>
              <w:t>1 tablet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A84AB28" w14:textId="7A38C5C5" w:rsidR="0056413D" w:rsidRPr="00013D0B" w:rsidRDefault="0056413D" w:rsidP="0056413D">
      <w:pPr>
        <w:pStyle w:val="ListParagraph"/>
      </w:pPr>
      <w:bookmarkStart w:id="2" w:name="_Hlk34121003"/>
      <w:r w:rsidRPr="00013D0B">
        <w:t>Evidence-Based Medicine and Fiscal Analysis: “Therapeutic Class Review: IMMUNOLOGIC AGENTS: Targeted Immune Modulators, JAK Inhibitors”, Gainwell Technologies; Last updated Ma</w:t>
      </w:r>
      <w:r w:rsidR="00390456">
        <w:t>rch</w:t>
      </w:r>
      <w:r w:rsidRPr="00013D0B">
        <w:t xml:space="preserve"> </w:t>
      </w:r>
      <w:r w:rsidR="00390456">
        <w:t>20</w:t>
      </w:r>
      <w:r w:rsidRPr="00013D0B">
        <w:t>, 202</w:t>
      </w:r>
      <w:r w:rsidR="00390456">
        <w:t>6</w:t>
      </w:r>
      <w:r w:rsidRPr="00013D0B">
        <w:t>.</w:t>
      </w:r>
    </w:p>
    <w:p w14:paraId="2EA7145E" w14:textId="76440338" w:rsidR="0056413D" w:rsidRPr="009715D8" w:rsidRDefault="0056413D" w:rsidP="0056413D">
      <w:pPr>
        <w:pStyle w:val="ListParagraph"/>
      </w:pPr>
      <w:r w:rsidRPr="009715D8">
        <w:t>Evidence-Based Medicine Analysis: “</w:t>
      </w:r>
      <w:r w:rsidRPr="002571B4">
        <w:t>Targeted Immune Modulators (Biologics – DMARDS [IL-6, TNF, IL-17A Antibody/IL-17 RA &amp; IL-23/IL-12, JAK inhibitors, Lupus, CAPS agents, Select/Other Agents</w:t>
      </w:r>
      <w:r>
        <w:t>]</w:t>
      </w:r>
      <w:r w:rsidRPr="009715D8">
        <w:t xml:space="preserve">)”. UMKC-DIC; </w:t>
      </w:r>
      <w:r w:rsidR="1626B13D">
        <w:t xml:space="preserve">March </w:t>
      </w:r>
      <w:r>
        <w:t>202</w:t>
      </w:r>
      <w:r w:rsidR="0431A90B">
        <w:t>6</w:t>
      </w:r>
      <w:r w:rsidRPr="009715D8">
        <w:t>.</w:t>
      </w:r>
    </w:p>
    <w:p w14:paraId="5AC53722" w14:textId="77777777" w:rsidR="0056413D" w:rsidRPr="00150C55" w:rsidRDefault="0056413D" w:rsidP="0056413D">
      <w:pPr>
        <w:pStyle w:val="ListParagraph"/>
      </w:pPr>
      <w:r w:rsidRPr="00150C55">
        <w:t>IPD Analytics. Rx Brief: JAK Inhibitor Safety: FDA Warnings and Payer Implications. September 2021.</w:t>
      </w:r>
    </w:p>
    <w:p w14:paraId="5AE0FD26" w14:textId="77777777" w:rsidR="0056413D" w:rsidRPr="00150C55" w:rsidRDefault="0056413D" w:rsidP="0056413D">
      <w:pPr>
        <w:pStyle w:val="ListParagraph"/>
      </w:pPr>
      <w:r w:rsidRPr="00150C55">
        <w:t xml:space="preserve">Cibinqo [package insert]. New York, NY: Pfizer Inc; </w:t>
      </w:r>
      <w:r>
        <w:t>December</w:t>
      </w:r>
      <w:r w:rsidRPr="00150C55">
        <w:t xml:space="preserve"> 2023. </w:t>
      </w:r>
    </w:p>
    <w:p w14:paraId="045C86EE" w14:textId="77777777" w:rsidR="0056413D" w:rsidRPr="00150C55" w:rsidRDefault="0056413D" w:rsidP="0056413D">
      <w:pPr>
        <w:pStyle w:val="ListParagraph"/>
      </w:pPr>
      <w:r w:rsidRPr="00150C55">
        <w:t>Olumiant [package insert]. Indianapolis, IN: Eli Lilly and Company; June 2022.</w:t>
      </w:r>
    </w:p>
    <w:p w14:paraId="6CB1100E" w14:textId="74390A63" w:rsidR="0056413D" w:rsidRPr="00150C55" w:rsidRDefault="0056413D" w:rsidP="0056413D">
      <w:pPr>
        <w:pStyle w:val="ListParagraph"/>
      </w:pPr>
      <w:r w:rsidRPr="00150C55">
        <w:t xml:space="preserve">Rinvoq [package insert]. North Chicago, IL: AbbVie Inc; </w:t>
      </w:r>
      <w:r w:rsidR="00581EDF">
        <w:t>October</w:t>
      </w:r>
      <w:r w:rsidRPr="00150C55">
        <w:t xml:space="preserve"> 202</w:t>
      </w:r>
      <w:r>
        <w:t>5</w:t>
      </w:r>
      <w:r w:rsidRPr="00150C55">
        <w:t>.</w:t>
      </w:r>
    </w:p>
    <w:p w14:paraId="5FC1E0BF" w14:textId="088D964D" w:rsidR="0056413D" w:rsidRDefault="0056413D" w:rsidP="0056413D">
      <w:pPr>
        <w:pStyle w:val="ListParagraph"/>
      </w:pPr>
      <w:r w:rsidRPr="00150C55">
        <w:t xml:space="preserve">Xeljanz [package insert]. New York, NY: Pfizer; </w:t>
      </w:r>
      <w:r w:rsidR="00891959">
        <w:t>March</w:t>
      </w:r>
      <w:r>
        <w:t xml:space="preserve"> 202</w:t>
      </w:r>
      <w:r w:rsidR="00891959">
        <w:t>6</w:t>
      </w:r>
      <w:r>
        <w:t>.</w:t>
      </w:r>
    </w:p>
    <w:p w14:paraId="2BD7DC60" w14:textId="77777777" w:rsidR="0056413D" w:rsidRPr="00670A3C" w:rsidRDefault="0056413D" w:rsidP="0056413D">
      <w:pPr>
        <w:pStyle w:val="ListParagraph"/>
      </w:pPr>
      <w:r>
        <w:lastRenderedPageBreak/>
        <w:t>Litfulo</w:t>
      </w:r>
      <w:r w:rsidRPr="00150C55">
        <w:t xml:space="preserve"> [package insert]. New York, NY: Pfizer; </w:t>
      </w:r>
      <w:r>
        <w:t>June</w:t>
      </w:r>
      <w:r w:rsidRPr="00150C55">
        <w:t xml:space="preserve"> 202</w:t>
      </w:r>
      <w:r>
        <w:t>3</w:t>
      </w:r>
      <w:r w:rsidRPr="00150C55">
        <w:t>.</w:t>
      </w:r>
    </w:p>
    <w:p w14:paraId="132E1250" w14:textId="6E9492BE" w:rsidR="0056413D" w:rsidRPr="00150C55" w:rsidRDefault="0056413D" w:rsidP="0056413D">
      <w:pPr>
        <w:pStyle w:val="ListParagraph"/>
      </w:pPr>
      <w:r w:rsidRPr="00150C55">
        <w:t>USPDI, Micromedex; 202</w:t>
      </w:r>
      <w:r w:rsidR="00891959">
        <w:t>6</w:t>
      </w:r>
      <w:r w:rsidRPr="00150C55">
        <w:t xml:space="preserve">. </w:t>
      </w:r>
    </w:p>
    <w:bookmarkEnd w:id="2"/>
    <w:p w14:paraId="3FA1E7DB" w14:textId="0FEF2C71" w:rsidR="00777CA4" w:rsidRDefault="0056413D" w:rsidP="0056413D">
      <w:pPr>
        <w:pStyle w:val="ListParagraph"/>
      </w:pPr>
      <w:r w:rsidRPr="00150C55">
        <w:t>Clinical Pharmacology [online]. Tampa (FL): Elsevier. 202</w:t>
      </w:r>
      <w:r w:rsidR="00891959">
        <w:t>6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0A4F" w14:textId="77777777" w:rsidR="00BA3AA8" w:rsidRPr="00C02553" w:rsidRDefault="00BA3AA8" w:rsidP="00AE77DB">
      <w:r w:rsidRPr="00C02553">
        <w:separator/>
      </w:r>
    </w:p>
  </w:endnote>
  <w:endnote w:type="continuationSeparator" w:id="0">
    <w:p w14:paraId="1886D8CF" w14:textId="77777777" w:rsidR="00BA3AA8" w:rsidRPr="00C02553" w:rsidRDefault="00BA3AA8" w:rsidP="00AE77DB">
      <w:r w:rsidRPr="00C02553">
        <w:continuationSeparator/>
      </w:r>
    </w:p>
  </w:endnote>
  <w:endnote w:type="continuationNotice" w:id="1">
    <w:p w14:paraId="714550C6" w14:textId="77777777" w:rsidR="00BA3AA8" w:rsidRPr="00C02553" w:rsidRDefault="00BA3A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43C96" w14:textId="77777777" w:rsidR="00BA3AA8" w:rsidRPr="00C02553" w:rsidRDefault="00BA3AA8" w:rsidP="00AE77DB">
      <w:r w:rsidRPr="00C02553">
        <w:separator/>
      </w:r>
    </w:p>
  </w:footnote>
  <w:footnote w:type="continuationSeparator" w:id="0">
    <w:p w14:paraId="4627A9D7" w14:textId="77777777" w:rsidR="00BA3AA8" w:rsidRPr="00C02553" w:rsidRDefault="00BA3AA8" w:rsidP="00AE77DB">
      <w:r w:rsidRPr="00C02553">
        <w:continuationSeparator/>
      </w:r>
    </w:p>
  </w:footnote>
  <w:footnote w:type="continuationNotice" w:id="1">
    <w:p w14:paraId="1D022A7B" w14:textId="77777777" w:rsidR="00BA3AA8" w:rsidRPr="00C02553" w:rsidRDefault="00BA3A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F283D74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35CA6A27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4A5B646B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60291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CEA1CE7"/>
    <w:multiLevelType w:val="hybridMultilevel"/>
    <w:tmpl w:val="DE564D9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FFA75EF"/>
    <w:multiLevelType w:val="hybridMultilevel"/>
    <w:tmpl w:val="D5D00D52"/>
    <w:lvl w:ilvl="0" w:tplc="2264E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332F58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A2788"/>
    <w:multiLevelType w:val="hybridMultilevel"/>
    <w:tmpl w:val="E21CC756"/>
    <w:lvl w:ilvl="0" w:tplc="2458C6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2078B"/>
    <w:multiLevelType w:val="hybridMultilevel"/>
    <w:tmpl w:val="20DE35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9B1226"/>
    <w:multiLevelType w:val="hybridMultilevel"/>
    <w:tmpl w:val="00EA7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76451B"/>
    <w:multiLevelType w:val="hybridMultilevel"/>
    <w:tmpl w:val="C3B47F0E"/>
    <w:lvl w:ilvl="0" w:tplc="2458C6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6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6"/>
  </w:num>
  <w:num w:numId="14" w16cid:durableId="1805081292">
    <w:abstractNumId w:val="15"/>
  </w:num>
  <w:num w:numId="15" w16cid:durableId="1538271233">
    <w:abstractNumId w:val="17"/>
  </w:num>
  <w:num w:numId="16" w16cid:durableId="1276518432">
    <w:abstractNumId w:val="11"/>
  </w:num>
  <w:num w:numId="17" w16cid:durableId="122307307">
    <w:abstractNumId w:val="20"/>
  </w:num>
  <w:num w:numId="18" w16cid:durableId="82189857">
    <w:abstractNumId w:val="8"/>
  </w:num>
  <w:num w:numId="19" w16cid:durableId="1999650016">
    <w:abstractNumId w:val="12"/>
  </w:num>
  <w:num w:numId="20" w16cid:durableId="348992586">
    <w:abstractNumId w:val="14"/>
  </w:num>
  <w:num w:numId="21" w16cid:durableId="28137687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k2OCg2x84ZXYWOVgSXlNk6supZV5OxgZN7+fwmAqGVvBXFwBaT5bKEbVz8TuCz9ZfPw/rZ1hDfMUWJAqE10K4A==" w:salt="0d6YUC9ZWSbnMWplxqYIn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1C61"/>
    <w:rsid w:val="0000390A"/>
    <w:rsid w:val="0000457E"/>
    <w:rsid w:val="00006A61"/>
    <w:rsid w:val="00007AC2"/>
    <w:rsid w:val="00022BC6"/>
    <w:rsid w:val="000276D9"/>
    <w:rsid w:val="000344C5"/>
    <w:rsid w:val="00040AD3"/>
    <w:rsid w:val="00053807"/>
    <w:rsid w:val="000572E5"/>
    <w:rsid w:val="00057F84"/>
    <w:rsid w:val="00061541"/>
    <w:rsid w:val="000625CB"/>
    <w:rsid w:val="00064162"/>
    <w:rsid w:val="00065C22"/>
    <w:rsid w:val="00066885"/>
    <w:rsid w:val="00074464"/>
    <w:rsid w:val="00076030"/>
    <w:rsid w:val="00082590"/>
    <w:rsid w:val="000913C3"/>
    <w:rsid w:val="000953B9"/>
    <w:rsid w:val="000A413B"/>
    <w:rsid w:val="000A6279"/>
    <w:rsid w:val="000A6CE8"/>
    <w:rsid w:val="000B496B"/>
    <w:rsid w:val="000C0BDB"/>
    <w:rsid w:val="000C0FEA"/>
    <w:rsid w:val="000C3940"/>
    <w:rsid w:val="000C5992"/>
    <w:rsid w:val="000E1479"/>
    <w:rsid w:val="000E21CC"/>
    <w:rsid w:val="000E231E"/>
    <w:rsid w:val="000E247D"/>
    <w:rsid w:val="000E6B14"/>
    <w:rsid w:val="000E70D8"/>
    <w:rsid w:val="001062F6"/>
    <w:rsid w:val="00112FC7"/>
    <w:rsid w:val="001163AF"/>
    <w:rsid w:val="00125F5F"/>
    <w:rsid w:val="00126951"/>
    <w:rsid w:val="00126B60"/>
    <w:rsid w:val="001273EB"/>
    <w:rsid w:val="00127EF6"/>
    <w:rsid w:val="001310AD"/>
    <w:rsid w:val="001314A5"/>
    <w:rsid w:val="00132C7F"/>
    <w:rsid w:val="00144DBE"/>
    <w:rsid w:val="001506FC"/>
    <w:rsid w:val="00152C8B"/>
    <w:rsid w:val="0015366A"/>
    <w:rsid w:val="0015636A"/>
    <w:rsid w:val="00157004"/>
    <w:rsid w:val="001659FF"/>
    <w:rsid w:val="00172053"/>
    <w:rsid w:val="00177A80"/>
    <w:rsid w:val="00192BEB"/>
    <w:rsid w:val="00195F3C"/>
    <w:rsid w:val="001A2E32"/>
    <w:rsid w:val="001A50CB"/>
    <w:rsid w:val="001A74B7"/>
    <w:rsid w:val="001B2D47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5954"/>
    <w:rsid w:val="0020256B"/>
    <w:rsid w:val="00202DD3"/>
    <w:rsid w:val="00206649"/>
    <w:rsid w:val="00206E7D"/>
    <w:rsid w:val="00217E14"/>
    <w:rsid w:val="00217EFD"/>
    <w:rsid w:val="00222134"/>
    <w:rsid w:val="0022233F"/>
    <w:rsid w:val="00226275"/>
    <w:rsid w:val="00226367"/>
    <w:rsid w:val="00233849"/>
    <w:rsid w:val="00233E70"/>
    <w:rsid w:val="00244B12"/>
    <w:rsid w:val="00246564"/>
    <w:rsid w:val="00246A3B"/>
    <w:rsid w:val="00255404"/>
    <w:rsid w:val="0025594F"/>
    <w:rsid w:val="00270C5E"/>
    <w:rsid w:val="00290618"/>
    <w:rsid w:val="00290A03"/>
    <w:rsid w:val="0029159A"/>
    <w:rsid w:val="00291600"/>
    <w:rsid w:val="0029323A"/>
    <w:rsid w:val="002A02F4"/>
    <w:rsid w:val="002B6347"/>
    <w:rsid w:val="002C2C41"/>
    <w:rsid w:val="002C4407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1EC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7FB5"/>
    <w:rsid w:val="00355515"/>
    <w:rsid w:val="003608B5"/>
    <w:rsid w:val="003613AF"/>
    <w:rsid w:val="003663B5"/>
    <w:rsid w:val="003877B4"/>
    <w:rsid w:val="003878C1"/>
    <w:rsid w:val="00390456"/>
    <w:rsid w:val="00396C0B"/>
    <w:rsid w:val="003A211F"/>
    <w:rsid w:val="003A630F"/>
    <w:rsid w:val="003B3958"/>
    <w:rsid w:val="003B4820"/>
    <w:rsid w:val="003B5F4B"/>
    <w:rsid w:val="003B682F"/>
    <w:rsid w:val="003C53FC"/>
    <w:rsid w:val="003C7013"/>
    <w:rsid w:val="003D641B"/>
    <w:rsid w:val="003F227C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6618B"/>
    <w:rsid w:val="0048608C"/>
    <w:rsid w:val="00496E57"/>
    <w:rsid w:val="004B3453"/>
    <w:rsid w:val="004B3E10"/>
    <w:rsid w:val="004C0F5D"/>
    <w:rsid w:val="004C375A"/>
    <w:rsid w:val="004C4954"/>
    <w:rsid w:val="004C5767"/>
    <w:rsid w:val="004D5322"/>
    <w:rsid w:val="004D78B0"/>
    <w:rsid w:val="004E611F"/>
    <w:rsid w:val="004F2A79"/>
    <w:rsid w:val="004F4D37"/>
    <w:rsid w:val="004F774F"/>
    <w:rsid w:val="00501A14"/>
    <w:rsid w:val="00501DE3"/>
    <w:rsid w:val="005058CB"/>
    <w:rsid w:val="0051044D"/>
    <w:rsid w:val="005139E4"/>
    <w:rsid w:val="00515075"/>
    <w:rsid w:val="00520FE9"/>
    <w:rsid w:val="005233E7"/>
    <w:rsid w:val="0053048D"/>
    <w:rsid w:val="005328B2"/>
    <w:rsid w:val="00535BD5"/>
    <w:rsid w:val="00537AC0"/>
    <w:rsid w:val="00540977"/>
    <w:rsid w:val="00550375"/>
    <w:rsid w:val="00551668"/>
    <w:rsid w:val="005563A1"/>
    <w:rsid w:val="005572D5"/>
    <w:rsid w:val="0056413D"/>
    <w:rsid w:val="00566BE4"/>
    <w:rsid w:val="00570D21"/>
    <w:rsid w:val="00573856"/>
    <w:rsid w:val="00576113"/>
    <w:rsid w:val="00581EDF"/>
    <w:rsid w:val="00590652"/>
    <w:rsid w:val="0059235F"/>
    <w:rsid w:val="00596936"/>
    <w:rsid w:val="005A2F1E"/>
    <w:rsid w:val="005A4232"/>
    <w:rsid w:val="005B168B"/>
    <w:rsid w:val="005C3616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17E50"/>
    <w:rsid w:val="006205AD"/>
    <w:rsid w:val="00625C3A"/>
    <w:rsid w:val="00635DDB"/>
    <w:rsid w:val="00637E6F"/>
    <w:rsid w:val="0064149A"/>
    <w:rsid w:val="00646DFE"/>
    <w:rsid w:val="00650530"/>
    <w:rsid w:val="00650C96"/>
    <w:rsid w:val="00653788"/>
    <w:rsid w:val="0065477F"/>
    <w:rsid w:val="00656896"/>
    <w:rsid w:val="00657E1D"/>
    <w:rsid w:val="00661656"/>
    <w:rsid w:val="0066374F"/>
    <w:rsid w:val="00670504"/>
    <w:rsid w:val="00677C65"/>
    <w:rsid w:val="00693152"/>
    <w:rsid w:val="00694FAE"/>
    <w:rsid w:val="00696C06"/>
    <w:rsid w:val="00696E3A"/>
    <w:rsid w:val="006A0834"/>
    <w:rsid w:val="006A3AFC"/>
    <w:rsid w:val="006A4BBD"/>
    <w:rsid w:val="006A52F1"/>
    <w:rsid w:val="006B561D"/>
    <w:rsid w:val="006B6D5D"/>
    <w:rsid w:val="006D2330"/>
    <w:rsid w:val="006E0F8B"/>
    <w:rsid w:val="006E12F7"/>
    <w:rsid w:val="006E29D7"/>
    <w:rsid w:val="007009B5"/>
    <w:rsid w:val="007068A4"/>
    <w:rsid w:val="00706D67"/>
    <w:rsid w:val="00713052"/>
    <w:rsid w:val="00721367"/>
    <w:rsid w:val="007231FA"/>
    <w:rsid w:val="00732C67"/>
    <w:rsid w:val="00734418"/>
    <w:rsid w:val="00751256"/>
    <w:rsid w:val="00757826"/>
    <w:rsid w:val="00760ADE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C328F"/>
    <w:rsid w:val="007D2920"/>
    <w:rsid w:val="007D42DD"/>
    <w:rsid w:val="007E04E4"/>
    <w:rsid w:val="007E6A37"/>
    <w:rsid w:val="007F1774"/>
    <w:rsid w:val="007F45F7"/>
    <w:rsid w:val="007F6915"/>
    <w:rsid w:val="008024E1"/>
    <w:rsid w:val="00811A70"/>
    <w:rsid w:val="0081406E"/>
    <w:rsid w:val="008244E8"/>
    <w:rsid w:val="00832211"/>
    <w:rsid w:val="008325F4"/>
    <w:rsid w:val="00832AC8"/>
    <w:rsid w:val="00844981"/>
    <w:rsid w:val="00846FA4"/>
    <w:rsid w:val="00850BA5"/>
    <w:rsid w:val="0085150B"/>
    <w:rsid w:val="008524BA"/>
    <w:rsid w:val="00852B74"/>
    <w:rsid w:val="00856928"/>
    <w:rsid w:val="00865538"/>
    <w:rsid w:val="00867C2A"/>
    <w:rsid w:val="00870875"/>
    <w:rsid w:val="008730A6"/>
    <w:rsid w:val="0088225C"/>
    <w:rsid w:val="00884026"/>
    <w:rsid w:val="00884C78"/>
    <w:rsid w:val="008859E1"/>
    <w:rsid w:val="00891959"/>
    <w:rsid w:val="00896264"/>
    <w:rsid w:val="008A5D88"/>
    <w:rsid w:val="008B2851"/>
    <w:rsid w:val="008C000E"/>
    <w:rsid w:val="008D0F2F"/>
    <w:rsid w:val="008D237F"/>
    <w:rsid w:val="008D6B05"/>
    <w:rsid w:val="008E7D2D"/>
    <w:rsid w:val="008F44C0"/>
    <w:rsid w:val="008F5999"/>
    <w:rsid w:val="00903AD6"/>
    <w:rsid w:val="00904D7A"/>
    <w:rsid w:val="009072D9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6"/>
    <w:rsid w:val="00985D28"/>
    <w:rsid w:val="00991BF0"/>
    <w:rsid w:val="009A0FB1"/>
    <w:rsid w:val="009A1FAC"/>
    <w:rsid w:val="009A2048"/>
    <w:rsid w:val="009B001A"/>
    <w:rsid w:val="009B1A62"/>
    <w:rsid w:val="009C0F18"/>
    <w:rsid w:val="009C3CC7"/>
    <w:rsid w:val="009D2057"/>
    <w:rsid w:val="009D3D6C"/>
    <w:rsid w:val="009D5551"/>
    <w:rsid w:val="009D62DB"/>
    <w:rsid w:val="009E3B42"/>
    <w:rsid w:val="00A05B60"/>
    <w:rsid w:val="00A13266"/>
    <w:rsid w:val="00A14FA6"/>
    <w:rsid w:val="00A15D64"/>
    <w:rsid w:val="00A20575"/>
    <w:rsid w:val="00A26624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3F21"/>
    <w:rsid w:val="00A744C3"/>
    <w:rsid w:val="00A82A18"/>
    <w:rsid w:val="00AA158C"/>
    <w:rsid w:val="00AA70AB"/>
    <w:rsid w:val="00AB0B9F"/>
    <w:rsid w:val="00AB1713"/>
    <w:rsid w:val="00AB2EB3"/>
    <w:rsid w:val="00AB63BE"/>
    <w:rsid w:val="00AB7FC2"/>
    <w:rsid w:val="00AC1EBC"/>
    <w:rsid w:val="00AC2599"/>
    <w:rsid w:val="00AC2DE9"/>
    <w:rsid w:val="00AD0F62"/>
    <w:rsid w:val="00AD2C5F"/>
    <w:rsid w:val="00AE0D18"/>
    <w:rsid w:val="00AE1481"/>
    <w:rsid w:val="00AE27F9"/>
    <w:rsid w:val="00AE3473"/>
    <w:rsid w:val="00AE77DB"/>
    <w:rsid w:val="00AF7453"/>
    <w:rsid w:val="00B00FFF"/>
    <w:rsid w:val="00B04A72"/>
    <w:rsid w:val="00B06084"/>
    <w:rsid w:val="00B16735"/>
    <w:rsid w:val="00B17EDE"/>
    <w:rsid w:val="00B22585"/>
    <w:rsid w:val="00B244FB"/>
    <w:rsid w:val="00B33693"/>
    <w:rsid w:val="00B34C53"/>
    <w:rsid w:val="00B3579B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96B4D"/>
    <w:rsid w:val="00BA0399"/>
    <w:rsid w:val="00BA1C17"/>
    <w:rsid w:val="00BA1D65"/>
    <w:rsid w:val="00BA3666"/>
    <w:rsid w:val="00BA3AA8"/>
    <w:rsid w:val="00BB3B4D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E784E"/>
    <w:rsid w:val="00BF1FE0"/>
    <w:rsid w:val="00BF5A74"/>
    <w:rsid w:val="00BF5EEF"/>
    <w:rsid w:val="00C02553"/>
    <w:rsid w:val="00C03299"/>
    <w:rsid w:val="00C03311"/>
    <w:rsid w:val="00C03DF6"/>
    <w:rsid w:val="00C04EB6"/>
    <w:rsid w:val="00C054C5"/>
    <w:rsid w:val="00C056F9"/>
    <w:rsid w:val="00C1018C"/>
    <w:rsid w:val="00C1150E"/>
    <w:rsid w:val="00C14D52"/>
    <w:rsid w:val="00C17817"/>
    <w:rsid w:val="00C2586C"/>
    <w:rsid w:val="00C26001"/>
    <w:rsid w:val="00C342CB"/>
    <w:rsid w:val="00C34E72"/>
    <w:rsid w:val="00C41C1A"/>
    <w:rsid w:val="00C56B1F"/>
    <w:rsid w:val="00C574A2"/>
    <w:rsid w:val="00C61B52"/>
    <w:rsid w:val="00C62745"/>
    <w:rsid w:val="00C62A2C"/>
    <w:rsid w:val="00C654CA"/>
    <w:rsid w:val="00C722C9"/>
    <w:rsid w:val="00C763BD"/>
    <w:rsid w:val="00C779A8"/>
    <w:rsid w:val="00C82E19"/>
    <w:rsid w:val="00C96873"/>
    <w:rsid w:val="00CA1735"/>
    <w:rsid w:val="00CA3C4B"/>
    <w:rsid w:val="00CA7252"/>
    <w:rsid w:val="00CB2C5A"/>
    <w:rsid w:val="00CE0C1C"/>
    <w:rsid w:val="00CE2C40"/>
    <w:rsid w:val="00CE34AF"/>
    <w:rsid w:val="00CF00A4"/>
    <w:rsid w:val="00CF25FB"/>
    <w:rsid w:val="00CF614C"/>
    <w:rsid w:val="00D02F34"/>
    <w:rsid w:val="00D13D87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74589"/>
    <w:rsid w:val="00D91D98"/>
    <w:rsid w:val="00DA3A0F"/>
    <w:rsid w:val="00DA4E62"/>
    <w:rsid w:val="00DA6990"/>
    <w:rsid w:val="00DB009A"/>
    <w:rsid w:val="00DB27BA"/>
    <w:rsid w:val="00DB328A"/>
    <w:rsid w:val="00DB337A"/>
    <w:rsid w:val="00DC51CB"/>
    <w:rsid w:val="00DC6636"/>
    <w:rsid w:val="00DD4819"/>
    <w:rsid w:val="00DD4B8A"/>
    <w:rsid w:val="00DD5403"/>
    <w:rsid w:val="00DE1388"/>
    <w:rsid w:val="00DE7501"/>
    <w:rsid w:val="00DF3146"/>
    <w:rsid w:val="00DF57C3"/>
    <w:rsid w:val="00DF693F"/>
    <w:rsid w:val="00E008D9"/>
    <w:rsid w:val="00E02FE0"/>
    <w:rsid w:val="00E0455C"/>
    <w:rsid w:val="00E07ABE"/>
    <w:rsid w:val="00E11A3F"/>
    <w:rsid w:val="00E1386E"/>
    <w:rsid w:val="00E2369B"/>
    <w:rsid w:val="00E23EC0"/>
    <w:rsid w:val="00E320DD"/>
    <w:rsid w:val="00E34158"/>
    <w:rsid w:val="00E354AA"/>
    <w:rsid w:val="00E43D54"/>
    <w:rsid w:val="00E442FB"/>
    <w:rsid w:val="00E450FB"/>
    <w:rsid w:val="00E529DB"/>
    <w:rsid w:val="00E53A5E"/>
    <w:rsid w:val="00E6466A"/>
    <w:rsid w:val="00E72221"/>
    <w:rsid w:val="00E83428"/>
    <w:rsid w:val="00E84C58"/>
    <w:rsid w:val="00E873A5"/>
    <w:rsid w:val="00E90D11"/>
    <w:rsid w:val="00E915E5"/>
    <w:rsid w:val="00EA6ED8"/>
    <w:rsid w:val="00EB0367"/>
    <w:rsid w:val="00EB4FB9"/>
    <w:rsid w:val="00EB5BC8"/>
    <w:rsid w:val="00EC2738"/>
    <w:rsid w:val="00EC4225"/>
    <w:rsid w:val="00ED7B42"/>
    <w:rsid w:val="00EE3EA5"/>
    <w:rsid w:val="00EE613F"/>
    <w:rsid w:val="00EE6BD1"/>
    <w:rsid w:val="00EF0262"/>
    <w:rsid w:val="00EF0828"/>
    <w:rsid w:val="00EF5DEA"/>
    <w:rsid w:val="00EF6F8B"/>
    <w:rsid w:val="00F03898"/>
    <w:rsid w:val="00F13FE7"/>
    <w:rsid w:val="00F1527A"/>
    <w:rsid w:val="00F173D4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730BA"/>
    <w:rsid w:val="00F80E20"/>
    <w:rsid w:val="00F903BE"/>
    <w:rsid w:val="00F95D04"/>
    <w:rsid w:val="00FA16EC"/>
    <w:rsid w:val="00FA2811"/>
    <w:rsid w:val="00FA2CFB"/>
    <w:rsid w:val="00FA4837"/>
    <w:rsid w:val="00FB06DD"/>
    <w:rsid w:val="00FB1D33"/>
    <w:rsid w:val="00FB5E96"/>
    <w:rsid w:val="00FB7608"/>
    <w:rsid w:val="00FC008C"/>
    <w:rsid w:val="00FC05A0"/>
    <w:rsid w:val="00FC6758"/>
    <w:rsid w:val="00FD3014"/>
    <w:rsid w:val="00FD34EA"/>
    <w:rsid w:val="00FE3F3E"/>
    <w:rsid w:val="00FE4D52"/>
    <w:rsid w:val="00FE5AEE"/>
    <w:rsid w:val="00FF106B"/>
    <w:rsid w:val="00FF332B"/>
    <w:rsid w:val="0431A90B"/>
    <w:rsid w:val="1626B13D"/>
    <w:rsid w:val="5CEB51C0"/>
    <w:rsid w:val="6EB7A09E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3579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79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B3579B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79B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F5A7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FC85D-7FE1-4158-986C-61B7C9E55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1126</Words>
  <Characters>6422</Characters>
  <Application>Microsoft Office Word</Application>
  <DocSecurity>10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Targeted Immune Modulators, Janus Kinase (JAK) Inhibitors PDL Edit</vt:lpstr>
    </vt:vector>
  </TitlesOfParts>
  <Company>DSS</Company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Targeted Immune Modulators, Janus Kinase (JAK) Inhibitors PDL Edit</dc:title>
  <dc:creator>DMS</dc:creator>
  <cp:lastModifiedBy>Hammond, Chelsea</cp:lastModifiedBy>
  <cp:revision>2</cp:revision>
  <cp:lastPrinted>2018-10-31T20:17:00Z</cp:lastPrinted>
  <dcterms:created xsi:type="dcterms:W3CDTF">2026-09-23T16:12:00Z</dcterms:created>
  <dcterms:modified xsi:type="dcterms:W3CDTF">2026-09-23T16:12:00Z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8c369cd6-c019-4f46-b347-dd3ca6180945</vt:lpwstr>
  </property>
</Properties>
</file>