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r w:rsidRPr="00C02553">
        <w:rPr>
          <w:lang w:val="en-US"/>
        </w:rPr>
        <w:t>SmartPA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109362A8" w:rsidR="004C5767" w:rsidRPr="006560B3" w:rsidRDefault="004C5767" w:rsidP="00D27533">
      <w:pPr>
        <w:pStyle w:val="tbody"/>
        <w:rPr>
          <w:b w:val="0"/>
        </w:rPr>
      </w:pPr>
      <w:r w:rsidRPr="00C02553">
        <w:t>Drug/Drug Class:</w:t>
      </w:r>
      <w:r w:rsidR="006560B3">
        <w:rPr>
          <w:b w:val="0"/>
        </w:rPr>
        <w:t xml:space="preserve"> </w:t>
      </w:r>
      <w:r w:rsidR="00C60E5F" w:rsidRPr="00C60E5F">
        <w:rPr>
          <w:b w:val="0"/>
          <w:bCs/>
        </w:rPr>
        <w:t>Apolipoprotein CIII Small Interfering RNA (siRNA) Inhibitors</w:t>
      </w:r>
      <w:r w:rsidR="00C60E5F" w:rsidRPr="00C60E5F">
        <w:t xml:space="preserve"> </w:t>
      </w:r>
      <w:r w:rsidR="005C4DAE">
        <w:rPr>
          <w:b w:val="0"/>
        </w:rPr>
        <w:t xml:space="preserve">PDL </w:t>
      </w:r>
      <w:r w:rsidR="005C4DAE" w:rsidRPr="00FD575B">
        <w:rPr>
          <w:b w:val="0"/>
        </w:rPr>
        <w:t xml:space="preserve">Edit </w:t>
      </w:r>
      <w:r w:rsidR="00C60E5F">
        <w:rPr>
          <w:b w:val="0"/>
        </w:rPr>
        <w:t>(</w:t>
      </w:r>
      <w:r w:rsidR="00C60E5F" w:rsidRPr="00C60E5F">
        <w:rPr>
          <w:b w:val="0"/>
          <w:i/>
          <w:iCs/>
        </w:rPr>
        <w:t xml:space="preserve">formerly </w:t>
      </w:r>
      <w:r w:rsidR="00FD575B" w:rsidRPr="00C60E5F">
        <w:rPr>
          <w:b w:val="0"/>
          <w:i/>
          <w:iCs/>
        </w:rPr>
        <w:t xml:space="preserve">Familial Chylomicronemia Syndrome (FCS) </w:t>
      </w:r>
      <w:r w:rsidR="005C4DAE" w:rsidRPr="00C60E5F">
        <w:rPr>
          <w:b w:val="0"/>
          <w:i/>
          <w:iCs/>
        </w:rPr>
        <w:t>Clinical Edit</w:t>
      </w:r>
      <w:r w:rsidR="00C60E5F">
        <w:rPr>
          <w:b w:val="0"/>
        </w:rPr>
        <w:t>)</w:t>
      </w:r>
      <w:r w:rsidR="005C4DAE">
        <w:rPr>
          <w:b w:val="0"/>
        </w:rPr>
        <w:t xml:space="preserve"> </w:t>
      </w:r>
    </w:p>
    <w:p w14:paraId="7AD7FFCE" w14:textId="105142A3" w:rsidR="004C5767" w:rsidRPr="006560B3" w:rsidRDefault="004C5767" w:rsidP="00D27533">
      <w:pPr>
        <w:pStyle w:val="tbody"/>
        <w:rPr>
          <w:b w:val="0"/>
        </w:rPr>
      </w:pPr>
      <w:r w:rsidRPr="00C02553">
        <w:t>First Implementation Date:</w:t>
      </w:r>
      <w:r w:rsidR="006560B3">
        <w:rPr>
          <w:b w:val="0"/>
        </w:rPr>
        <w:t xml:space="preserve"> </w:t>
      </w:r>
      <w:r w:rsidR="00FD575B">
        <w:rPr>
          <w:b w:val="0"/>
        </w:rPr>
        <w:t>February 19, 2026</w:t>
      </w:r>
    </w:p>
    <w:p w14:paraId="4B7D760D" w14:textId="272CC1AA" w:rsidR="004C5767" w:rsidRPr="00D232D9" w:rsidRDefault="007A0010" w:rsidP="15EB50BA">
      <w:pPr>
        <w:pStyle w:val="tbody"/>
        <w:rPr>
          <w:b w:val="0"/>
        </w:rPr>
      </w:pPr>
      <w:r>
        <w:t>Propo</w:t>
      </w:r>
      <w:r w:rsidR="004540E3">
        <w:t>sed</w:t>
      </w:r>
      <w:r w:rsidR="004C5767">
        <w:t xml:space="preserve"> Date:</w:t>
      </w:r>
      <w:r w:rsidR="00065C22">
        <w:t xml:space="preserve"> </w:t>
      </w:r>
      <w:r>
        <w:rPr>
          <w:b w:val="0"/>
          <w:bCs/>
        </w:rPr>
        <w:t>October 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0CBAAD5E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7773E8">
        <w:t xml:space="preserve">Criteria Status: </w:t>
      </w:r>
      <w:r w:rsidR="0014193A">
        <w:rPr>
          <w:b w:val="0"/>
          <w:bCs/>
          <w:spacing w:val="-3"/>
        </w:rPr>
        <w:t>Revision of 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5620BF0" w14:textId="77777777" w:rsidR="00AA2C4F" w:rsidRDefault="00AA2C4F" w:rsidP="00AA2C4F">
      <w:r w:rsidRPr="00B74BDD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59BCC976" w14:textId="70D1028F" w:rsidR="00351588" w:rsidRDefault="003B549C" w:rsidP="249FCFC3">
      <w:pPr>
        <w:pStyle w:val="CommentText"/>
        <w:spacing w:line="259" w:lineRule="auto"/>
        <w:rPr>
          <w:rFonts w:cs="Arial"/>
          <w:b/>
          <w:bCs/>
          <w:color w:val="FF0000"/>
        </w:rPr>
      </w:pPr>
      <w:r w:rsidRPr="249FCFC3">
        <w:rPr>
          <w:rFonts w:cs="Arial"/>
          <w:spacing w:val="-3"/>
        </w:rPr>
        <w:t xml:space="preserve">Severe hypertriglyceridemia is associated with an increased risk of acute pancreatitis, particularly at triglyceride levels of </w:t>
      </w:r>
      <w:r w:rsidRPr="249FCFC3">
        <w:rPr>
          <w:rFonts w:cs="Arial"/>
        </w:rPr>
        <w:t xml:space="preserve">500 mg/dL or higher. Apolipoprotein C-III inhibitors represent an emerging targeted treatment option for patients with markedly elevated triglycerides who may remain at risk despite diet and standard lipid-lowering therapy. </w:t>
      </w:r>
      <w:r w:rsidR="00462891" w:rsidRPr="249FCFC3">
        <w:rPr>
          <w:rFonts w:cs="Arial"/>
          <w:spacing w:val="-3"/>
        </w:rPr>
        <w:t xml:space="preserve">Both Tryngolza and </w:t>
      </w:r>
      <w:r w:rsidR="00462891" w:rsidRPr="249FCFC3">
        <w:rPr>
          <w:rFonts w:cs="Arial"/>
        </w:rPr>
        <w:t>Red</w:t>
      </w:r>
      <w:r w:rsidR="00B22674">
        <w:rPr>
          <w:rFonts w:cs="Arial"/>
        </w:rPr>
        <w:t>e</w:t>
      </w:r>
      <w:r w:rsidR="00462891" w:rsidRPr="249FCFC3">
        <w:rPr>
          <w:rFonts w:cs="Arial"/>
        </w:rPr>
        <w:t xml:space="preserve">mplo </w:t>
      </w:r>
      <w:r w:rsidR="66D4E36E" w:rsidRPr="249FCFC3">
        <w:rPr>
          <w:rFonts w:cs="Arial"/>
        </w:rPr>
        <w:t>were originally developed to treat</w:t>
      </w:r>
      <w:r w:rsidR="00462891" w:rsidRPr="249FCFC3">
        <w:rPr>
          <w:rFonts w:cs="Arial"/>
        </w:rPr>
        <w:t xml:space="preserve"> </w:t>
      </w:r>
      <w:r w:rsidR="00352407" w:rsidRPr="249FCFC3">
        <w:rPr>
          <w:rFonts w:cs="Arial"/>
        </w:rPr>
        <w:t>f</w:t>
      </w:r>
      <w:r w:rsidR="00351588" w:rsidRPr="249FCFC3">
        <w:rPr>
          <w:rFonts w:cs="Arial"/>
        </w:rPr>
        <w:t>amilial chylomicronemia syndrome (FCS)</w:t>
      </w:r>
      <w:r w:rsidR="21C28C6B" w:rsidRPr="249FCFC3">
        <w:rPr>
          <w:rFonts w:cs="Arial"/>
        </w:rPr>
        <w:t>, which</w:t>
      </w:r>
      <w:r w:rsidR="00352407" w:rsidRPr="249FCFC3">
        <w:rPr>
          <w:rFonts w:cs="Arial"/>
        </w:rPr>
        <w:t xml:space="preserve"> </w:t>
      </w:r>
      <w:r w:rsidR="00351588" w:rsidRPr="249FCFC3">
        <w:rPr>
          <w:rFonts w:cs="Arial"/>
        </w:rPr>
        <w:t>is a rare autosomal recessive disorder characterized by severe hypertriglyceridemia (sHTG). FCS results from loss-of-function variants in both copies of the lipoprotein lipase (</w:t>
      </w:r>
      <w:r w:rsidR="00351588" w:rsidRPr="249FCFC3">
        <w:rPr>
          <w:rFonts w:cs="Arial"/>
          <w:i/>
          <w:iCs/>
        </w:rPr>
        <w:t>LPL</w:t>
      </w:r>
      <w:r w:rsidR="00351588" w:rsidRPr="249FCFC3">
        <w:rPr>
          <w:rFonts w:cs="Arial"/>
        </w:rPr>
        <w:t xml:space="preserve">) gene, leading to insufficient or absence of the LPL enzyme. Reduced LPL activity results in the accumulation of chylomicrons in plasma and triglycerides (TG) sometimes exceeding 1,000 mg/dL (a normal TG level is &lt;150 mg/dL). </w:t>
      </w:r>
    </w:p>
    <w:p w14:paraId="3A898F35" w14:textId="77777777" w:rsidR="00351588" w:rsidRDefault="00351588" w:rsidP="00351588">
      <w:pPr>
        <w:pStyle w:val="CommentText"/>
        <w:rPr>
          <w:rFonts w:cs="Arial"/>
          <w:bCs/>
          <w:spacing w:val="-3"/>
        </w:rPr>
      </w:pPr>
    </w:p>
    <w:p w14:paraId="4A47A7D7" w14:textId="7282CAD0" w:rsidR="00351588" w:rsidRDefault="00351588" w:rsidP="00351588">
      <w:pPr>
        <w:pStyle w:val="CommentText"/>
        <w:rPr>
          <w:rFonts w:cs="Arial"/>
          <w:bCs/>
          <w:spacing w:val="-3"/>
        </w:rPr>
      </w:pPr>
      <w:r w:rsidRPr="009A42C8">
        <w:rPr>
          <w:rFonts w:cs="Arial"/>
          <w:bCs/>
          <w:spacing w:val="-3"/>
        </w:rPr>
        <w:t>Tryngolza</w:t>
      </w:r>
      <w:r>
        <w:rPr>
          <w:rFonts w:cs="Arial"/>
          <w:bCs/>
          <w:spacing w:val="-3"/>
        </w:rPr>
        <w:t xml:space="preserve"> (olezarsen), approved </w:t>
      </w:r>
      <w:r w:rsidR="00AA0AB6">
        <w:rPr>
          <w:rFonts w:cs="Arial"/>
          <w:bCs/>
          <w:spacing w:val="-3"/>
        </w:rPr>
        <w:t>i</w:t>
      </w:r>
      <w:r>
        <w:rPr>
          <w:rFonts w:cs="Arial"/>
          <w:bCs/>
          <w:spacing w:val="-3"/>
        </w:rPr>
        <w:t xml:space="preserve">n December 2024, </w:t>
      </w:r>
      <w:r w:rsidR="00C97D99">
        <w:rPr>
          <w:rFonts w:cs="Arial"/>
          <w:bCs/>
          <w:spacing w:val="-3"/>
        </w:rPr>
        <w:t>was</w:t>
      </w:r>
      <w:r w:rsidRPr="009A42C8">
        <w:rPr>
          <w:rFonts w:cs="Arial"/>
          <w:bCs/>
          <w:spacing w:val="-3"/>
        </w:rPr>
        <w:t xml:space="preserve"> the first FDA-approved treatment for FCS.</w:t>
      </w:r>
      <w:r>
        <w:rPr>
          <w:rFonts w:cs="Arial"/>
          <w:bCs/>
          <w:spacing w:val="-3"/>
        </w:rPr>
        <w:t xml:space="preserve"> Tryngolza </w:t>
      </w:r>
      <w:r w:rsidRPr="00DD6505">
        <w:rPr>
          <w:rFonts w:cs="Arial"/>
          <w:bCs/>
          <w:spacing w:val="-3"/>
        </w:rPr>
        <w:t>binds to apoC-III mRNA</w:t>
      </w:r>
      <w:r>
        <w:rPr>
          <w:rFonts w:cs="Arial"/>
          <w:bCs/>
          <w:spacing w:val="-3"/>
        </w:rPr>
        <w:t xml:space="preserve">, </w:t>
      </w:r>
      <w:r w:rsidRPr="00DD6505">
        <w:rPr>
          <w:rFonts w:cs="Arial"/>
          <w:bCs/>
          <w:spacing w:val="-3"/>
        </w:rPr>
        <w:t>result</w:t>
      </w:r>
      <w:r>
        <w:rPr>
          <w:rFonts w:cs="Arial"/>
          <w:bCs/>
          <w:spacing w:val="-3"/>
        </w:rPr>
        <w:t>ing</w:t>
      </w:r>
      <w:r w:rsidRPr="00DD6505">
        <w:rPr>
          <w:rFonts w:cs="Arial"/>
          <w:bCs/>
          <w:spacing w:val="-3"/>
        </w:rPr>
        <w:t xml:space="preserve"> in a reduction of serum apoC-III protein. Reduction of apoC-III protein leads to increased clearance of plasma TG and very-low-density lipoprotein (VLDL)</w:t>
      </w:r>
      <w:r>
        <w:rPr>
          <w:rFonts w:cs="Arial"/>
          <w:bCs/>
          <w:spacing w:val="-3"/>
        </w:rPr>
        <w:t xml:space="preserve">. </w:t>
      </w:r>
      <w:r w:rsidR="00265513">
        <w:rPr>
          <w:rFonts w:cs="Arial"/>
          <w:bCs/>
          <w:spacing w:val="-3"/>
        </w:rPr>
        <w:t xml:space="preserve">In June 2026, Tryngolza was also </w:t>
      </w:r>
      <w:r w:rsidR="004B5344">
        <w:rPr>
          <w:rFonts w:cs="Arial"/>
          <w:bCs/>
          <w:spacing w:val="-3"/>
        </w:rPr>
        <w:t>granted FDA approval as an adjunct to diet to reduce TG and the risk of AP</w:t>
      </w:r>
      <w:r w:rsidR="00461D8A">
        <w:rPr>
          <w:rFonts w:cs="Arial"/>
          <w:bCs/>
          <w:spacing w:val="-3"/>
        </w:rPr>
        <w:t xml:space="preserve"> in adults with </w:t>
      </w:r>
      <w:r w:rsidR="00992EE8">
        <w:rPr>
          <w:rFonts w:cs="Arial"/>
          <w:bCs/>
          <w:spacing w:val="-3"/>
        </w:rPr>
        <w:t>sHTG with TG level</w:t>
      </w:r>
      <w:r w:rsidR="00FA006E">
        <w:rPr>
          <w:rFonts w:cs="Arial"/>
          <w:bCs/>
          <w:spacing w:val="-3"/>
        </w:rPr>
        <w:t xml:space="preserve"> of</w:t>
      </w:r>
      <w:r w:rsidR="00992EE8">
        <w:rPr>
          <w:rFonts w:cs="Arial"/>
          <w:bCs/>
          <w:spacing w:val="-3"/>
        </w:rPr>
        <w:t xml:space="preserve"> 500 mg/dL or higher.</w:t>
      </w:r>
    </w:p>
    <w:p w14:paraId="39FEB6CD" w14:textId="77777777" w:rsidR="00351588" w:rsidRDefault="00351588" w:rsidP="00351588">
      <w:pPr>
        <w:pStyle w:val="CommentText"/>
        <w:rPr>
          <w:rFonts w:cs="Arial"/>
          <w:bCs/>
          <w:spacing w:val="-3"/>
        </w:rPr>
      </w:pPr>
    </w:p>
    <w:p w14:paraId="6D483D05" w14:textId="5FD0087A" w:rsidR="00DF54D0" w:rsidRDefault="00DF54D0" w:rsidP="00351588">
      <w:pPr>
        <w:pStyle w:val="CommentText"/>
        <w:rPr>
          <w:rFonts w:cs="Arial"/>
          <w:bCs/>
          <w:spacing w:val="-3"/>
        </w:rPr>
      </w:pPr>
      <w:r>
        <w:rPr>
          <w:rFonts w:cs="Arial"/>
          <w:bCs/>
          <w:spacing w:val="-3"/>
        </w:rPr>
        <w:t xml:space="preserve">Redemplo </w:t>
      </w:r>
      <w:r w:rsidRPr="00DF54D0">
        <w:rPr>
          <w:rFonts w:cs="Arial"/>
          <w:bCs/>
          <w:spacing w:val="-3"/>
        </w:rPr>
        <w:t>(plozasiran)</w:t>
      </w:r>
      <w:r>
        <w:rPr>
          <w:rFonts w:cs="Arial"/>
          <w:bCs/>
          <w:spacing w:val="-3"/>
        </w:rPr>
        <w:t xml:space="preserve">, approved </w:t>
      </w:r>
      <w:r w:rsidR="00AA0AB6">
        <w:rPr>
          <w:rFonts w:cs="Arial"/>
          <w:bCs/>
          <w:spacing w:val="-3"/>
        </w:rPr>
        <w:t>in December 2025</w:t>
      </w:r>
      <w:r w:rsidR="00C54879">
        <w:rPr>
          <w:rFonts w:cs="Arial"/>
          <w:bCs/>
          <w:spacing w:val="-3"/>
        </w:rPr>
        <w:t xml:space="preserve">, joins this class </w:t>
      </w:r>
      <w:r w:rsidR="0095076C">
        <w:rPr>
          <w:rFonts w:cs="Arial"/>
          <w:bCs/>
          <w:spacing w:val="-3"/>
        </w:rPr>
        <w:t>as</w:t>
      </w:r>
      <w:r w:rsidR="00362FB2">
        <w:rPr>
          <w:rFonts w:cs="Arial"/>
          <w:bCs/>
          <w:spacing w:val="-3"/>
        </w:rPr>
        <w:t xml:space="preserve"> a</w:t>
      </w:r>
      <w:r w:rsidR="00F2685E">
        <w:rPr>
          <w:rFonts w:cs="Arial"/>
          <w:bCs/>
          <w:spacing w:val="-3"/>
        </w:rPr>
        <w:t>n</w:t>
      </w:r>
      <w:r w:rsidR="00362FB2">
        <w:rPr>
          <w:rFonts w:cs="Arial"/>
          <w:bCs/>
          <w:spacing w:val="-3"/>
        </w:rPr>
        <w:t xml:space="preserve"> </w:t>
      </w:r>
      <w:r w:rsidR="00B85077">
        <w:rPr>
          <w:rFonts w:cs="Arial"/>
          <w:bCs/>
          <w:spacing w:val="-3"/>
        </w:rPr>
        <w:t>apoC-</w:t>
      </w:r>
      <w:r w:rsidR="004443AF">
        <w:rPr>
          <w:rFonts w:cs="Arial"/>
          <w:bCs/>
          <w:spacing w:val="-3"/>
        </w:rPr>
        <w:t>III-directed small interfering ribonucleic acid (siRNA)</w:t>
      </w:r>
      <w:r w:rsidR="00EE56A4">
        <w:rPr>
          <w:rFonts w:cs="Arial"/>
          <w:bCs/>
          <w:spacing w:val="-3"/>
        </w:rPr>
        <w:t xml:space="preserve"> that degrades the apoC-III mRNA that results in reduced levels of hepatic and serum apoC-III</w:t>
      </w:r>
      <w:r w:rsidR="00F2685E">
        <w:rPr>
          <w:rFonts w:cs="Arial"/>
          <w:bCs/>
          <w:spacing w:val="-3"/>
        </w:rPr>
        <w:t xml:space="preserve"> that leads to an increased clearance of serum triglycerides.</w:t>
      </w:r>
    </w:p>
    <w:p w14:paraId="1323CF2F" w14:textId="77777777" w:rsidR="00F2685E" w:rsidRDefault="00F2685E" w:rsidP="00351588">
      <w:pPr>
        <w:pStyle w:val="CommentText"/>
        <w:rPr>
          <w:rFonts w:cs="Arial"/>
          <w:bCs/>
          <w:spacing w:val="-3"/>
        </w:rPr>
      </w:pPr>
    </w:p>
    <w:p w14:paraId="723AC073" w14:textId="77777777" w:rsidR="00A90CE2" w:rsidRDefault="00A90CE2" w:rsidP="00A90CE2">
      <w:r w:rsidRPr="00650530">
        <w:rPr>
          <w:rFonts w:cs="Arial"/>
          <w:spacing w:val="-3"/>
        </w:rPr>
        <w:t>Total program savings for the PDL classes will be regularly reviewed.</w:t>
      </w:r>
    </w:p>
    <w:p w14:paraId="629DC4F7" w14:textId="77777777" w:rsidR="00E72A92" w:rsidRDefault="00E72A92" w:rsidP="00351588"/>
    <w:p w14:paraId="5B15FB4E" w14:textId="77777777" w:rsidR="000A46E7" w:rsidRPr="00A60136" w:rsidRDefault="000A46E7" w:rsidP="000A46E7">
      <w:pPr>
        <w:rPr>
          <w:b/>
          <w:bCs/>
        </w:rPr>
      </w:pPr>
      <w:r>
        <w:rPr>
          <w:b/>
          <w:bCs/>
        </w:rPr>
        <w:t>Preferred Agents:</w:t>
      </w:r>
    </w:p>
    <w:p w14:paraId="4691DC98" w14:textId="420AD86F" w:rsidR="003D4704" w:rsidRDefault="009611F9" w:rsidP="009611F9">
      <w:pPr>
        <w:pStyle w:val="ListParagraph"/>
        <w:numPr>
          <w:ilvl w:val="0"/>
          <w:numId w:val="27"/>
        </w:numPr>
        <w:rPr>
          <w:rFonts w:cs="Arial"/>
          <w:szCs w:val="20"/>
        </w:rPr>
      </w:pPr>
      <w:r>
        <w:rPr>
          <w:rFonts w:cs="Arial"/>
          <w:szCs w:val="20"/>
        </w:rPr>
        <w:t>N/A</w:t>
      </w:r>
    </w:p>
    <w:p w14:paraId="58D3A4F0" w14:textId="77777777" w:rsidR="009611F9" w:rsidRPr="009611F9" w:rsidRDefault="009611F9" w:rsidP="009611F9">
      <w:pPr>
        <w:pStyle w:val="ListParagraph"/>
        <w:numPr>
          <w:ilvl w:val="0"/>
          <w:numId w:val="0"/>
        </w:numPr>
        <w:ind w:left="360"/>
        <w:rPr>
          <w:rFonts w:cs="Arial"/>
          <w:szCs w:val="20"/>
        </w:rPr>
      </w:pPr>
    </w:p>
    <w:p w14:paraId="76D71E3C" w14:textId="77777777" w:rsidR="00FE521A" w:rsidRDefault="00FE521A" w:rsidP="00FE521A">
      <w:pPr>
        <w:rPr>
          <w:b/>
          <w:bCs/>
        </w:rPr>
      </w:pPr>
      <w:r>
        <w:rPr>
          <w:b/>
          <w:bCs/>
        </w:rPr>
        <w:t>Non-Preferred Agents:</w:t>
      </w:r>
    </w:p>
    <w:p w14:paraId="012248C6" w14:textId="4D6255DB" w:rsidR="000A46E7" w:rsidRPr="002E124D" w:rsidRDefault="001F7417" w:rsidP="08C5F3BE">
      <w:pPr>
        <w:pStyle w:val="ListParagraph"/>
        <w:rPr>
          <w:rFonts w:cs="Arial"/>
          <w:b/>
          <w:bCs/>
          <w:color w:val="1F497D" w:themeColor="text2"/>
        </w:rPr>
      </w:pPr>
      <w:r w:rsidRPr="08C5F3BE">
        <w:rPr>
          <w:rFonts w:cs="Arial"/>
          <w:b/>
          <w:bCs/>
          <w:color w:val="1F497D" w:themeColor="text2"/>
        </w:rPr>
        <w:t>Redemplo</w:t>
      </w:r>
    </w:p>
    <w:p w14:paraId="06EE6389" w14:textId="31DE3215" w:rsidR="001F7417" w:rsidRPr="002E124D" w:rsidRDefault="001F7417" w:rsidP="08C5F3BE">
      <w:pPr>
        <w:pStyle w:val="ListParagraph"/>
        <w:rPr>
          <w:rFonts w:cs="Arial"/>
          <w:b/>
          <w:bCs/>
          <w:color w:val="1F497D" w:themeColor="text2"/>
        </w:rPr>
      </w:pPr>
      <w:r w:rsidRPr="08C5F3BE">
        <w:rPr>
          <w:rFonts w:cs="Arial"/>
          <w:b/>
          <w:bCs/>
          <w:color w:val="1F497D" w:themeColor="text2"/>
        </w:rPr>
        <w:t>Tryngolza</w:t>
      </w: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65667DE8" w14:textId="77777777" w:rsidR="002E4723" w:rsidRDefault="0097028A" w:rsidP="005328B2">
      <w:r w:rsidRPr="00696E3A">
        <w:rPr>
          <w:b/>
          <w:bCs/>
        </w:rPr>
        <w:t>Drug class for review:</w:t>
      </w:r>
      <w:r w:rsidRPr="00C02553">
        <w:t xml:space="preserve"> </w:t>
      </w:r>
      <w:r w:rsidR="002E4723" w:rsidRPr="002E4723">
        <w:t>Apolipoprotein CIII Small Interfering RNA (siRNA) Inhibitors</w:t>
      </w:r>
      <w:r w:rsidR="002E4723" w:rsidRPr="00C60E5F">
        <w:t xml:space="preserve"> </w:t>
      </w:r>
    </w:p>
    <w:p w14:paraId="7F2A9816" w14:textId="23FABE62" w:rsidR="005328B2" w:rsidRDefault="0097028A" w:rsidP="005328B2">
      <w:pPr>
        <w:rPr>
          <w:rFonts w:cs="Arial"/>
          <w:szCs w:val="20"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  <w:r w:rsidR="00C300A4" w:rsidRPr="00C300A4">
        <w:rPr>
          <w:rFonts w:cs="Arial"/>
          <w:szCs w:val="20"/>
        </w:rPr>
        <w:t xml:space="preserve"> </w:t>
      </w:r>
      <w:r w:rsidR="00C300A4" w:rsidRPr="00C523AB">
        <w:rPr>
          <w:rFonts w:cs="Arial"/>
          <w:szCs w:val="20"/>
        </w:rPr>
        <w:t xml:space="preserve">aged </w:t>
      </w:r>
      <w:r w:rsidR="00C300A4">
        <w:rPr>
          <w:rFonts w:cs="Arial"/>
          <w:szCs w:val="20"/>
        </w:rPr>
        <w:t>18</w:t>
      </w:r>
      <w:r w:rsidR="00C300A4" w:rsidRPr="00C523AB">
        <w:rPr>
          <w:rFonts w:cs="Arial"/>
          <w:szCs w:val="20"/>
        </w:rPr>
        <w:t xml:space="preserve"> years and older</w:t>
      </w:r>
    </w:p>
    <w:p w14:paraId="0A947C7D" w14:textId="77777777" w:rsidR="00C300A4" w:rsidRPr="002C2C41" w:rsidRDefault="00C300A4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Approval Criteria</w:t>
      </w:r>
    </w:p>
    <w:p w14:paraId="4BAA1D7A" w14:textId="77777777" w:rsidR="00635DDB" w:rsidRPr="00696E3A" w:rsidRDefault="00635DDB" w:rsidP="00635DDB">
      <w:pPr>
        <w:rPr>
          <w:b/>
          <w:bCs/>
        </w:rPr>
      </w:pPr>
      <w:r w:rsidRPr="00696E3A">
        <w:rPr>
          <w:b/>
          <w:bCs/>
        </w:rPr>
        <w:t>Initial Therapy:</w:t>
      </w:r>
    </w:p>
    <w:p w14:paraId="1E213C74" w14:textId="77777777" w:rsidR="00AC7041" w:rsidRPr="00184E39" w:rsidRDefault="00AC7041" w:rsidP="00AC7041">
      <w:pPr>
        <w:pStyle w:val="ListParagraph"/>
        <w:numPr>
          <w:ilvl w:val="0"/>
          <w:numId w:val="21"/>
        </w:numPr>
        <w:rPr>
          <w:rFonts w:cs="Arial"/>
          <w:bCs/>
          <w:szCs w:val="20"/>
        </w:rPr>
      </w:pPr>
      <w:r w:rsidRPr="00184E39">
        <w:rPr>
          <w:rFonts w:cs="Arial"/>
          <w:bCs/>
          <w:szCs w:val="20"/>
        </w:rPr>
        <w:t>Must meet all of the following:</w:t>
      </w:r>
    </w:p>
    <w:p w14:paraId="7C18F47F" w14:textId="77777777" w:rsidR="00AC7041" w:rsidRPr="00184E39" w:rsidRDefault="00AC7041" w:rsidP="00BC2D36">
      <w:pPr>
        <w:pStyle w:val="ListParagraph"/>
        <w:numPr>
          <w:ilvl w:val="1"/>
          <w:numId w:val="21"/>
        </w:numPr>
        <w:ind w:left="720"/>
        <w:rPr>
          <w:rFonts w:cs="Arial"/>
          <w:bCs/>
          <w:szCs w:val="20"/>
        </w:rPr>
      </w:pPr>
      <w:r w:rsidRPr="00184E39">
        <w:rPr>
          <w:rFonts w:cs="Arial"/>
          <w:bCs/>
          <w:szCs w:val="20"/>
        </w:rPr>
        <w:t>Participant ≥ 18 years of age;</w:t>
      </w:r>
    </w:p>
    <w:p w14:paraId="48978B2F" w14:textId="7865B116" w:rsidR="007C0DCA" w:rsidRPr="007C0DCA" w:rsidRDefault="007C0DCA" w:rsidP="00BC2D36">
      <w:pPr>
        <w:pStyle w:val="ListParagraph"/>
        <w:numPr>
          <w:ilvl w:val="1"/>
          <w:numId w:val="21"/>
        </w:numPr>
        <w:ind w:left="720"/>
        <w:rPr>
          <w:rFonts w:cs="Arial"/>
          <w:bCs/>
          <w:szCs w:val="20"/>
        </w:rPr>
      </w:pPr>
      <w:r w:rsidRPr="00807005">
        <w:rPr>
          <w:rFonts w:eastAsia="Arial" w:cs="Arial"/>
          <w:szCs w:val="20"/>
        </w:rPr>
        <w:t>Prescribed by or in consultation with a cardiologist, endocrinologist</w:t>
      </w:r>
      <w:r>
        <w:rPr>
          <w:rFonts w:eastAsia="Arial" w:cs="Arial"/>
          <w:szCs w:val="20"/>
        </w:rPr>
        <w:t xml:space="preserve">, </w:t>
      </w:r>
      <w:r w:rsidRPr="0014193A">
        <w:rPr>
          <w:rFonts w:eastAsia="Arial" w:cs="Arial"/>
          <w:b/>
          <w:bCs/>
          <w:color w:val="1F497D" w:themeColor="text2"/>
          <w:szCs w:val="20"/>
        </w:rPr>
        <w:t>gastroenterologist</w:t>
      </w:r>
      <w:r w:rsidRPr="00807005">
        <w:rPr>
          <w:rFonts w:eastAsia="Arial" w:cs="Arial"/>
          <w:szCs w:val="20"/>
        </w:rPr>
        <w:t xml:space="preserve"> or </w:t>
      </w:r>
      <w:r w:rsidR="001875EC">
        <w:rPr>
          <w:rFonts w:eastAsia="Arial" w:cs="Arial"/>
          <w:szCs w:val="20"/>
        </w:rPr>
        <w:t xml:space="preserve">other </w:t>
      </w:r>
      <w:r w:rsidRPr="00807005">
        <w:rPr>
          <w:rFonts w:eastAsia="Arial" w:cs="Arial"/>
          <w:szCs w:val="20"/>
        </w:rPr>
        <w:t xml:space="preserve">specialist in </w:t>
      </w:r>
      <w:r w:rsidR="00421035">
        <w:rPr>
          <w:rFonts w:eastAsia="Arial" w:cs="Arial"/>
          <w:b/>
          <w:bCs/>
          <w:color w:val="1F497D" w:themeColor="text2"/>
          <w:szCs w:val="20"/>
        </w:rPr>
        <w:t xml:space="preserve">the </w:t>
      </w:r>
      <w:r w:rsidR="007F7722" w:rsidRPr="00031FAB">
        <w:rPr>
          <w:rFonts w:eastAsia="Arial" w:cs="Arial"/>
          <w:b/>
          <w:bCs/>
          <w:color w:val="1F497D" w:themeColor="text2"/>
          <w:szCs w:val="20"/>
        </w:rPr>
        <w:t>treated disease state</w:t>
      </w:r>
      <w:r w:rsidRPr="00807005">
        <w:rPr>
          <w:rFonts w:eastAsia="Arial" w:cs="Arial"/>
          <w:szCs w:val="20"/>
        </w:rPr>
        <w:t>;</w:t>
      </w:r>
    </w:p>
    <w:p w14:paraId="14EC0062" w14:textId="77777777" w:rsidR="00276BCE" w:rsidRDefault="00634061" w:rsidP="00276BCE">
      <w:pPr>
        <w:pStyle w:val="ListParagraph"/>
        <w:numPr>
          <w:ilvl w:val="1"/>
          <w:numId w:val="21"/>
        </w:numPr>
        <w:ind w:left="720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Must meet one of the following: </w:t>
      </w:r>
    </w:p>
    <w:p w14:paraId="396DFBC1" w14:textId="21A0BC6C" w:rsidR="00276BCE" w:rsidRPr="00276BCE" w:rsidRDefault="00D37CE9" w:rsidP="001E1ADE">
      <w:pPr>
        <w:pStyle w:val="ListParagraph"/>
        <w:numPr>
          <w:ilvl w:val="2"/>
          <w:numId w:val="21"/>
        </w:numPr>
        <w:ind w:left="1080"/>
        <w:rPr>
          <w:rFonts w:cs="Arial"/>
          <w:szCs w:val="20"/>
        </w:rPr>
      </w:pPr>
      <w:r w:rsidRPr="00276BCE">
        <w:rPr>
          <w:rFonts w:cs="Arial"/>
          <w:b/>
          <w:color w:val="1F497D" w:themeColor="text2"/>
          <w:szCs w:val="20"/>
        </w:rPr>
        <w:t>Claim is for Tryngolza</w:t>
      </w:r>
      <w:r w:rsidR="0040191D" w:rsidRPr="00276BCE">
        <w:rPr>
          <w:rFonts w:cs="Arial"/>
          <w:b/>
          <w:color w:val="1F497D" w:themeColor="text2"/>
          <w:szCs w:val="20"/>
        </w:rPr>
        <w:t xml:space="preserve"> 80 mg or Red</w:t>
      </w:r>
      <w:r w:rsidR="00463BCA" w:rsidRPr="00276BCE">
        <w:rPr>
          <w:rFonts w:cs="Arial"/>
          <w:b/>
          <w:color w:val="1F497D" w:themeColor="text2"/>
          <w:szCs w:val="20"/>
        </w:rPr>
        <w:t>em</w:t>
      </w:r>
      <w:r w:rsidR="0040191D" w:rsidRPr="00276BCE">
        <w:rPr>
          <w:rFonts w:cs="Arial"/>
          <w:b/>
          <w:color w:val="1F497D" w:themeColor="text2"/>
          <w:szCs w:val="20"/>
        </w:rPr>
        <w:t>plo</w:t>
      </w:r>
      <w:r w:rsidR="000630A6">
        <w:rPr>
          <w:rFonts w:cs="Arial"/>
          <w:b/>
          <w:color w:val="1F497D" w:themeColor="text2"/>
          <w:szCs w:val="20"/>
        </w:rPr>
        <w:t>:</w:t>
      </w:r>
      <w:r w:rsidR="0040191D" w:rsidRPr="00276BCE">
        <w:rPr>
          <w:rFonts w:cs="Arial"/>
          <w:b/>
          <w:color w:val="1F497D" w:themeColor="text2"/>
          <w:szCs w:val="20"/>
        </w:rPr>
        <w:t xml:space="preserve"> </w:t>
      </w:r>
      <w:r w:rsidR="00AC7041" w:rsidRPr="00276BCE">
        <w:rPr>
          <w:rFonts w:cs="Arial"/>
          <w:bCs/>
          <w:szCs w:val="20"/>
        </w:rPr>
        <w:t>Diagnosis of FCS confirmed based upon the American Association of Clinical Endocrinologists’ (AACE) criteria:</w:t>
      </w:r>
    </w:p>
    <w:p w14:paraId="1C219487" w14:textId="5D9BB4A5" w:rsidR="00AC7041" w:rsidRPr="00184E39" w:rsidRDefault="00AC7041" w:rsidP="001E1ADE">
      <w:pPr>
        <w:pStyle w:val="ListParagraph"/>
        <w:numPr>
          <w:ilvl w:val="3"/>
          <w:numId w:val="21"/>
        </w:numPr>
        <w:ind w:left="1440"/>
        <w:rPr>
          <w:rFonts w:cs="Arial"/>
          <w:szCs w:val="20"/>
        </w:rPr>
      </w:pPr>
      <w:r w:rsidRPr="00184E39">
        <w:rPr>
          <w:rFonts w:cs="Arial"/>
          <w:szCs w:val="20"/>
        </w:rPr>
        <w:t>Must have all of the following:</w:t>
      </w:r>
    </w:p>
    <w:p w14:paraId="4F4BC686" w14:textId="77777777" w:rsidR="00AC7041" w:rsidRPr="00184E39" w:rsidRDefault="00AC7041" w:rsidP="00B01711">
      <w:pPr>
        <w:pStyle w:val="ListParagraph"/>
        <w:numPr>
          <w:ilvl w:val="4"/>
          <w:numId w:val="21"/>
        </w:numPr>
        <w:ind w:left="1800"/>
        <w:rPr>
          <w:rFonts w:cs="Arial"/>
          <w:szCs w:val="20"/>
        </w:rPr>
      </w:pPr>
      <w:r w:rsidRPr="00184E39">
        <w:rPr>
          <w:rFonts w:cs="Arial"/>
          <w:szCs w:val="20"/>
        </w:rPr>
        <w:t>Fasting TG (&gt;</w:t>
      </w:r>
      <w:r>
        <w:rPr>
          <w:rFonts w:cs="Arial"/>
          <w:szCs w:val="20"/>
        </w:rPr>
        <w:t xml:space="preserve"> </w:t>
      </w:r>
      <w:r w:rsidRPr="00184E39">
        <w:rPr>
          <w:rFonts w:cs="Arial"/>
          <w:szCs w:val="20"/>
        </w:rPr>
        <w:t>10 mmol/L or 880 mg/dL);</w:t>
      </w:r>
    </w:p>
    <w:p w14:paraId="290BE776" w14:textId="77777777" w:rsidR="00AC7041" w:rsidRPr="00184E39" w:rsidRDefault="00AC7041" w:rsidP="00B01711">
      <w:pPr>
        <w:pStyle w:val="ListParagraph"/>
        <w:numPr>
          <w:ilvl w:val="4"/>
          <w:numId w:val="21"/>
        </w:numPr>
        <w:ind w:left="1800"/>
        <w:rPr>
          <w:rFonts w:cs="Arial"/>
          <w:szCs w:val="20"/>
        </w:rPr>
      </w:pPr>
      <w:r w:rsidRPr="00184E39">
        <w:rPr>
          <w:rFonts w:cs="Arial"/>
          <w:szCs w:val="20"/>
        </w:rPr>
        <w:t xml:space="preserve">Refractory to standard TG therapies; </w:t>
      </w:r>
      <w:r w:rsidRPr="00184E39">
        <w:rPr>
          <w:rFonts w:cs="Arial"/>
          <w:b/>
          <w:bCs/>
          <w:szCs w:val="20"/>
        </w:rPr>
        <w:t>AND</w:t>
      </w:r>
    </w:p>
    <w:p w14:paraId="48BB591B" w14:textId="77777777" w:rsidR="00AC7041" w:rsidRPr="00B63893" w:rsidRDefault="00AC7041" w:rsidP="00B01711">
      <w:pPr>
        <w:pStyle w:val="ListParagraph"/>
        <w:numPr>
          <w:ilvl w:val="4"/>
          <w:numId w:val="21"/>
        </w:numPr>
        <w:ind w:left="1800"/>
        <w:rPr>
          <w:rFonts w:cs="Arial"/>
          <w:szCs w:val="20"/>
        </w:rPr>
      </w:pPr>
      <w:r w:rsidRPr="00E67D90">
        <w:rPr>
          <w:rFonts w:cs="Arial"/>
          <w:szCs w:val="20"/>
        </w:rPr>
        <w:t>Absence of secondary causes (ex: alcohol use, uncontrolled type 2 diabetes, medications, and medical conditions known to increase TG)</w:t>
      </w:r>
      <w:r w:rsidRPr="00B63893">
        <w:rPr>
          <w:rFonts w:cs="Arial"/>
          <w:szCs w:val="20"/>
        </w:rPr>
        <w:t xml:space="preserve">; </w:t>
      </w:r>
      <w:r w:rsidRPr="00B63893">
        <w:rPr>
          <w:rFonts w:cs="Arial"/>
          <w:b/>
          <w:bCs/>
          <w:szCs w:val="20"/>
        </w:rPr>
        <w:t>AND</w:t>
      </w:r>
    </w:p>
    <w:p w14:paraId="56564656" w14:textId="77777777" w:rsidR="00AC7041" w:rsidRPr="00184E39" w:rsidRDefault="00AC7041" w:rsidP="00276BCE">
      <w:pPr>
        <w:pStyle w:val="ListParagraph"/>
        <w:numPr>
          <w:ilvl w:val="3"/>
          <w:numId w:val="21"/>
        </w:numPr>
        <w:rPr>
          <w:rFonts w:cs="Arial"/>
          <w:szCs w:val="20"/>
        </w:rPr>
      </w:pPr>
      <w:r w:rsidRPr="00184E39">
        <w:rPr>
          <w:rFonts w:cs="Arial"/>
          <w:szCs w:val="20"/>
        </w:rPr>
        <w:t>Must have one of the following:</w:t>
      </w:r>
    </w:p>
    <w:p w14:paraId="46D52FCD" w14:textId="77777777" w:rsidR="00AC7041" w:rsidRPr="00184E39" w:rsidRDefault="00AC7041" w:rsidP="00B01711">
      <w:pPr>
        <w:pStyle w:val="ListParagraph"/>
        <w:numPr>
          <w:ilvl w:val="4"/>
          <w:numId w:val="21"/>
        </w:numPr>
        <w:ind w:left="1800"/>
        <w:rPr>
          <w:rFonts w:cs="Arial"/>
          <w:szCs w:val="20"/>
        </w:rPr>
      </w:pPr>
      <w:r w:rsidRPr="00184E39">
        <w:rPr>
          <w:rFonts w:cs="Arial"/>
          <w:szCs w:val="20"/>
        </w:rPr>
        <w:t xml:space="preserve">History of </w:t>
      </w:r>
      <w:r w:rsidRPr="00427F6E">
        <w:rPr>
          <w:rFonts w:cs="Arial"/>
          <w:szCs w:val="20"/>
        </w:rPr>
        <w:t xml:space="preserve">acute pancreatitis </w:t>
      </w:r>
      <w:r>
        <w:rPr>
          <w:rFonts w:cs="Arial"/>
          <w:szCs w:val="20"/>
        </w:rPr>
        <w:t>(</w:t>
      </w:r>
      <w:r w:rsidRPr="00184E39">
        <w:rPr>
          <w:rFonts w:cs="Arial"/>
          <w:szCs w:val="20"/>
        </w:rPr>
        <w:t>AP</w:t>
      </w:r>
      <w:r>
        <w:rPr>
          <w:rFonts w:cs="Arial"/>
          <w:szCs w:val="20"/>
        </w:rPr>
        <w:t>)</w:t>
      </w:r>
      <w:r w:rsidRPr="00184E39">
        <w:rPr>
          <w:rFonts w:cs="Arial"/>
          <w:szCs w:val="20"/>
        </w:rPr>
        <w:t>;</w:t>
      </w:r>
    </w:p>
    <w:p w14:paraId="7B97AE26" w14:textId="77777777" w:rsidR="00AC7041" w:rsidRPr="006F1E0F" w:rsidRDefault="00AC7041" w:rsidP="00B01711">
      <w:pPr>
        <w:pStyle w:val="ListParagraph"/>
        <w:numPr>
          <w:ilvl w:val="4"/>
          <w:numId w:val="21"/>
        </w:numPr>
        <w:ind w:left="1800"/>
        <w:rPr>
          <w:rFonts w:cs="Arial"/>
          <w:szCs w:val="20"/>
        </w:rPr>
      </w:pPr>
      <w:r w:rsidRPr="006F1E0F">
        <w:rPr>
          <w:rFonts w:eastAsia="Arial" w:cs="Arial"/>
          <w:szCs w:val="20"/>
        </w:rPr>
        <w:t xml:space="preserve">Confirmation by genetic analysis; </w:t>
      </w:r>
      <w:r w:rsidRPr="006F1E0F">
        <w:rPr>
          <w:rFonts w:eastAsia="Arial" w:cs="Arial"/>
          <w:b/>
          <w:bCs/>
          <w:szCs w:val="20"/>
        </w:rPr>
        <w:t>OR</w:t>
      </w:r>
    </w:p>
    <w:p w14:paraId="0500F07A" w14:textId="23F27501" w:rsidR="00AC7041" w:rsidRPr="006F1E0F" w:rsidRDefault="00AC7041" w:rsidP="00B01711">
      <w:pPr>
        <w:pStyle w:val="ListParagraph"/>
        <w:numPr>
          <w:ilvl w:val="4"/>
          <w:numId w:val="21"/>
        </w:numPr>
        <w:ind w:left="1800"/>
        <w:rPr>
          <w:rFonts w:eastAsia="Arial" w:cs="Arial"/>
          <w:szCs w:val="20"/>
        </w:rPr>
      </w:pPr>
      <w:r w:rsidRPr="006F1E0F">
        <w:rPr>
          <w:rFonts w:cs="Arial"/>
          <w:szCs w:val="20"/>
        </w:rPr>
        <w:t>History of recurrent abdominal pain without other known cause and presence of genetic variance of unknown function;</w:t>
      </w:r>
      <w:r w:rsidR="00B216FA" w:rsidRPr="00B216FA">
        <w:rPr>
          <w:rFonts w:cs="Arial"/>
          <w:b/>
          <w:bCs/>
          <w:szCs w:val="20"/>
        </w:rPr>
        <w:t xml:space="preserve"> </w:t>
      </w:r>
      <w:r w:rsidR="001E1ADE">
        <w:rPr>
          <w:rFonts w:cs="Arial"/>
          <w:b/>
          <w:bCs/>
          <w:szCs w:val="20"/>
        </w:rPr>
        <w:t>OR</w:t>
      </w:r>
    </w:p>
    <w:p w14:paraId="4DC871FA" w14:textId="48F465B6" w:rsidR="00BC6087" w:rsidRPr="00606DA8" w:rsidRDefault="00BC6087" w:rsidP="000630A6">
      <w:pPr>
        <w:pStyle w:val="ListParagraph"/>
        <w:numPr>
          <w:ilvl w:val="2"/>
          <w:numId w:val="21"/>
        </w:numPr>
        <w:ind w:left="1080"/>
        <w:jc w:val="both"/>
        <w:rPr>
          <w:rFonts w:eastAsia="Arial" w:cs="Arial"/>
          <w:szCs w:val="20"/>
        </w:rPr>
      </w:pPr>
      <w:r w:rsidRPr="0040191D">
        <w:rPr>
          <w:rFonts w:cs="Arial"/>
          <w:b/>
          <w:color w:val="1F497D" w:themeColor="text2"/>
          <w:szCs w:val="20"/>
        </w:rPr>
        <w:t>Claim is for Tryngolza</w:t>
      </w:r>
      <w:r>
        <w:rPr>
          <w:rFonts w:cs="Arial"/>
          <w:b/>
          <w:color w:val="1F497D" w:themeColor="text2"/>
          <w:szCs w:val="20"/>
        </w:rPr>
        <w:t xml:space="preserve"> 50 mg </w:t>
      </w:r>
      <w:r w:rsidR="00797AC2">
        <w:rPr>
          <w:rFonts w:cs="Arial"/>
          <w:b/>
          <w:color w:val="1F497D" w:themeColor="text2"/>
          <w:szCs w:val="20"/>
        </w:rPr>
        <w:t>for</w:t>
      </w:r>
      <w:r w:rsidR="00106146" w:rsidRPr="00606DA8">
        <w:rPr>
          <w:rFonts w:cs="Arial"/>
          <w:b/>
          <w:color w:val="1F497D" w:themeColor="text2"/>
          <w:szCs w:val="20"/>
        </w:rPr>
        <w:t xml:space="preserve"> severe hypertriglyceridemia:</w:t>
      </w:r>
    </w:p>
    <w:p w14:paraId="77A40CCE" w14:textId="77777777" w:rsidR="004B16C3" w:rsidRDefault="001F3F54" w:rsidP="000630A6">
      <w:pPr>
        <w:pStyle w:val="ListParagraph"/>
        <w:numPr>
          <w:ilvl w:val="3"/>
          <w:numId w:val="21"/>
        </w:numPr>
        <w:ind w:left="1440"/>
        <w:jc w:val="both"/>
        <w:rPr>
          <w:rFonts w:eastAsia="Arial" w:cs="Arial"/>
          <w:b/>
          <w:bCs/>
          <w:color w:val="1F497D" w:themeColor="text2"/>
          <w:szCs w:val="20"/>
        </w:rPr>
      </w:pPr>
      <w:r>
        <w:rPr>
          <w:rFonts w:eastAsia="Arial" w:cs="Arial"/>
          <w:b/>
          <w:bCs/>
          <w:color w:val="1F497D" w:themeColor="text2"/>
          <w:szCs w:val="20"/>
        </w:rPr>
        <w:t>Must meet all of the following</w:t>
      </w:r>
      <w:r w:rsidR="004B16C3">
        <w:rPr>
          <w:rFonts w:eastAsia="Arial" w:cs="Arial"/>
          <w:b/>
          <w:bCs/>
          <w:color w:val="1F497D" w:themeColor="text2"/>
          <w:szCs w:val="20"/>
        </w:rPr>
        <w:t>:</w:t>
      </w:r>
    </w:p>
    <w:p w14:paraId="60468DFF" w14:textId="616EEDC2" w:rsidR="00606DA8" w:rsidRPr="00F92588" w:rsidRDefault="00F92588" w:rsidP="001E1ADE">
      <w:pPr>
        <w:pStyle w:val="ListParagraph"/>
        <w:numPr>
          <w:ilvl w:val="4"/>
          <w:numId w:val="21"/>
        </w:numPr>
        <w:tabs>
          <w:tab w:val="left" w:pos="1800"/>
        </w:tabs>
        <w:ind w:left="1800"/>
        <w:jc w:val="both"/>
        <w:rPr>
          <w:rFonts w:eastAsia="Arial" w:cs="Arial"/>
          <w:b/>
          <w:bCs/>
          <w:color w:val="1F497D" w:themeColor="text2"/>
          <w:szCs w:val="20"/>
        </w:rPr>
      </w:pPr>
      <w:r w:rsidRPr="00F92588">
        <w:rPr>
          <w:rFonts w:eastAsia="Arial" w:cs="Arial"/>
          <w:b/>
          <w:bCs/>
          <w:color w:val="1F497D" w:themeColor="text2"/>
          <w:szCs w:val="20"/>
        </w:rPr>
        <w:t>Documentation of the following baseline laboratory values:</w:t>
      </w:r>
    </w:p>
    <w:p w14:paraId="6225E405" w14:textId="68A4A01F" w:rsidR="00106146" w:rsidRPr="00F92588" w:rsidRDefault="006D7074" w:rsidP="00D85F69">
      <w:pPr>
        <w:pStyle w:val="ListParagraph"/>
        <w:numPr>
          <w:ilvl w:val="5"/>
          <w:numId w:val="21"/>
        </w:numPr>
        <w:tabs>
          <w:tab w:val="left" w:pos="1800"/>
        </w:tabs>
        <w:ind w:left="2160"/>
        <w:jc w:val="both"/>
        <w:rPr>
          <w:rFonts w:eastAsia="Arial" w:cs="Arial"/>
          <w:b/>
          <w:bCs/>
          <w:color w:val="1F497D" w:themeColor="text2"/>
          <w:szCs w:val="20"/>
        </w:rPr>
      </w:pPr>
      <w:r w:rsidRPr="00F92588">
        <w:rPr>
          <w:rFonts w:eastAsia="Arial" w:cs="Arial"/>
          <w:b/>
          <w:bCs/>
          <w:color w:val="1F497D" w:themeColor="text2"/>
          <w:szCs w:val="20"/>
        </w:rPr>
        <w:t>Fasting serum triglyceride level of TG &gt; 500 mg/dL;</w:t>
      </w:r>
    </w:p>
    <w:p w14:paraId="210E476C" w14:textId="743464C7" w:rsidR="006D7074" w:rsidRPr="00F92588" w:rsidRDefault="006D7074" w:rsidP="00D85F69">
      <w:pPr>
        <w:pStyle w:val="ListParagraph"/>
        <w:numPr>
          <w:ilvl w:val="5"/>
          <w:numId w:val="21"/>
        </w:numPr>
        <w:tabs>
          <w:tab w:val="left" w:pos="1800"/>
        </w:tabs>
        <w:ind w:left="2160"/>
        <w:jc w:val="both"/>
        <w:rPr>
          <w:rFonts w:eastAsia="Arial" w:cs="Arial"/>
          <w:b/>
          <w:bCs/>
          <w:color w:val="1F497D" w:themeColor="text2"/>
          <w:szCs w:val="20"/>
        </w:rPr>
      </w:pPr>
      <w:r w:rsidRPr="00F92588">
        <w:rPr>
          <w:rFonts w:eastAsia="Arial" w:cs="Arial"/>
          <w:b/>
          <w:bCs/>
          <w:color w:val="1F497D" w:themeColor="text2"/>
          <w:szCs w:val="20"/>
        </w:rPr>
        <w:t>Liver function test (including AST/ALT); AND</w:t>
      </w:r>
    </w:p>
    <w:p w14:paraId="5838D144" w14:textId="68E49FA7" w:rsidR="006D7074" w:rsidRPr="00F92588" w:rsidRDefault="006D7074" w:rsidP="00D85F69">
      <w:pPr>
        <w:pStyle w:val="ListParagraph"/>
        <w:numPr>
          <w:ilvl w:val="5"/>
          <w:numId w:val="21"/>
        </w:numPr>
        <w:tabs>
          <w:tab w:val="left" w:pos="1800"/>
        </w:tabs>
        <w:ind w:left="2160"/>
        <w:jc w:val="both"/>
        <w:rPr>
          <w:rFonts w:eastAsia="Arial" w:cs="Arial"/>
          <w:b/>
          <w:bCs/>
          <w:color w:val="1F497D" w:themeColor="text2"/>
          <w:szCs w:val="20"/>
        </w:rPr>
      </w:pPr>
      <w:r w:rsidRPr="00F92588">
        <w:rPr>
          <w:rFonts w:eastAsia="Arial" w:cs="Arial"/>
          <w:b/>
          <w:bCs/>
          <w:color w:val="1F497D" w:themeColor="text2"/>
          <w:szCs w:val="20"/>
        </w:rPr>
        <w:t>Platelet count;</w:t>
      </w:r>
      <w:r w:rsidR="004B16C3">
        <w:rPr>
          <w:rFonts w:eastAsia="Arial" w:cs="Arial"/>
          <w:b/>
          <w:bCs/>
          <w:color w:val="1F497D" w:themeColor="text2"/>
          <w:szCs w:val="20"/>
        </w:rPr>
        <w:t xml:space="preserve"> AND</w:t>
      </w:r>
    </w:p>
    <w:p w14:paraId="754FDDE3" w14:textId="0A0668AC" w:rsidR="00B50FC4" w:rsidRDefault="00B50FC4" w:rsidP="001E1ADE">
      <w:pPr>
        <w:pStyle w:val="ListParagraph"/>
        <w:numPr>
          <w:ilvl w:val="4"/>
          <w:numId w:val="21"/>
        </w:numPr>
        <w:tabs>
          <w:tab w:val="left" w:pos="1800"/>
        </w:tabs>
        <w:ind w:left="1800"/>
        <w:jc w:val="both"/>
        <w:rPr>
          <w:rFonts w:eastAsia="Arial" w:cs="Arial"/>
          <w:szCs w:val="20"/>
        </w:rPr>
      </w:pPr>
      <w:r w:rsidRPr="00F92588">
        <w:rPr>
          <w:rFonts w:eastAsia="Arial" w:cs="Arial"/>
          <w:b/>
          <w:bCs/>
          <w:color w:val="1F497D" w:themeColor="text2"/>
          <w:szCs w:val="20"/>
        </w:rPr>
        <w:t>Failure to achieve desired therapeutic outcomes with fenofibrates and omega-3 fatty acid</w:t>
      </w:r>
      <w:r w:rsidR="001E1ADE">
        <w:rPr>
          <w:rFonts w:eastAsia="Arial" w:cs="Arial"/>
          <w:b/>
          <w:bCs/>
          <w:color w:val="1F497D" w:themeColor="text2"/>
          <w:szCs w:val="20"/>
        </w:rPr>
        <w:t>s</w:t>
      </w:r>
      <w:r w:rsidR="00D85F69">
        <w:rPr>
          <w:rFonts w:eastAsia="Arial" w:cs="Arial"/>
          <w:b/>
          <w:bCs/>
          <w:color w:val="1F497D" w:themeColor="text2"/>
          <w:szCs w:val="20"/>
        </w:rPr>
        <w:t>.</w:t>
      </w:r>
    </w:p>
    <w:p w14:paraId="3F7641FC" w14:textId="40254FC8" w:rsidR="00F705F1" w:rsidRPr="00F705F1" w:rsidRDefault="00F705F1" w:rsidP="00F705F1">
      <w:pPr>
        <w:pStyle w:val="ListParagraph"/>
        <w:numPr>
          <w:ilvl w:val="0"/>
          <w:numId w:val="21"/>
        </w:numPr>
        <w:jc w:val="both"/>
        <w:rPr>
          <w:rFonts w:eastAsia="Arial" w:cs="Arial"/>
          <w:b/>
          <w:bCs/>
          <w:color w:val="1F497D" w:themeColor="text2"/>
          <w:szCs w:val="20"/>
        </w:rPr>
      </w:pPr>
      <w:r w:rsidRPr="00F705F1">
        <w:rPr>
          <w:rFonts w:eastAsia="Arial" w:cs="Arial"/>
          <w:b/>
          <w:bCs/>
          <w:color w:val="1F497D" w:themeColor="text2"/>
          <w:szCs w:val="20"/>
        </w:rPr>
        <w:t>Additional approval criteria for Redemplo:</w:t>
      </w:r>
    </w:p>
    <w:p w14:paraId="27E14716" w14:textId="46753BC5" w:rsidR="00F705F1" w:rsidRPr="00F705F1" w:rsidRDefault="00F705F1" w:rsidP="00F705F1">
      <w:pPr>
        <w:pStyle w:val="ListParagraph"/>
        <w:numPr>
          <w:ilvl w:val="1"/>
          <w:numId w:val="21"/>
        </w:numPr>
        <w:jc w:val="both"/>
        <w:rPr>
          <w:rFonts w:eastAsia="Arial" w:cs="Arial"/>
          <w:b/>
          <w:bCs/>
          <w:color w:val="1F497D" w:themeColor="text2"/>
          <w:szCs w:val="20"/>
        </w:rPr>
      </w:pPr>
      <w:r w:rsidRPr="00F705F1">
        <w:rPr>
          <w:rFonts w:eastAsia="Arial" w:cs="Arial"/>
          <w:b/>
          <w:bCs/>
          <w:color w:val="1F497D" w:themeColor="text2"/>
          <w:szCs w:val="20"/>
        </w:rPr>
        <w:t>Documented HbA1c &lt; 9.0% at baseline.</w:t>
      </w:r>
    </w:p>
    <w:p w14:paraId="6AC8BA8D" w14:textId="77777777" w:rsidR="00AC7041" w:rsidRDefault="00AC7041" w:rsidP="00AC7041">
      <w:pPr>
        <w:pStyle w:val="ListParagraph"/>
        <w:numPr>
          <w:ilvl w:val="0"/>
          <w:numId w:val="21"/>
        </w:numPr>
        <w:jc w:val="both"/>
        <w:rPr>
          <w:rFonts w:eastAsia="Arial" w:cs="Arial"/>
          <w:szCs w:val="20"/>
        </w:rPr>
      </w:pPr>
      <w:r w:rsidRPr="00807005">
        <w:rPr>
          <w:rFonts w:eastAsia="Arial" w:cs="Arial"/>
          <w:szCs w:val="20"/>
        </w:rPr>
        <w:t>Initial approval period: 6 months</w:t>
      </w:r>
    </w:p>
    <w:p w14:paraId="1B509DCA" w14:textId="77777777" w:rsidR="00635DDB" w:rsidRPr="002C2C41" w:rsidRDefault="00635DDB" w:rsidP="00635DDB">
      <w:pPr>
        <w:rPr>
          <w:rFonts w:cs="Arial"/>
          <w:szCs w:val="20"/>
        </w:rPr>
      </w:pPr>
    </w:p>
    <w:p w14:paraId="7EC2017B" w14:textId="77777777" w:rsidR="00635DDB" w:rsidRPr="00696E3A" w:rsidRDefault="00635DDB" w:rsidP="00635DDB">
      <w:pPr>
        <w:rPr>
          <w:b/>
          <w:bCs/>
        </w:rPr>
      </w:pPr>
      <w:r w:rsidRPr="00696E3A">
        <w:rPr>
          <w:b/>
          <w:bCs/>
        </w:rPr>
        <w:t>Continuation of Therapy:</w:t>
      </w:r>
    </w:p>
    <w:p w14:paraId="2E24AFA3" w14:textId="5E3DAB05" w:rsidR="005845C1" w:rsidRPr="005845C1" w:rsidRDefault="000F631C" w:rsidP="005845C1">
      <w:pPr>
        <w:pStyle w:val="ListParagraph"/>
        <w:numPr>
          <w:ilvl w:val="0"/>
          <w:numId w:val="21"/>
        </w:numPr>
        <w:jc w:val="both"/>
        <w:rPr>
          <w:rFonts w:eastAsia="Arial" w:cs="Arial"/>
          <w:b/>
          <w:color w:val="1F497D" w:themeColor="text2"/>
          <w:szCs w:val="20"/>
        </w:rPr>
      </w:pPr>
      <w:r w:rsidRPr="00807005">
        <w:rPr>
          <w:rFonts w:eastAsia="Arial" w:cs="Arial"/>
          <w:bCs/>
          <w:szCs w:val="20"/>
        </w:rPr>
        <w:t>Documented clinical benefit (improvement in symptoms, triglyceride levels and/or reduction in episodes of acute pancreatitis)</w:t>
      </w:r>
      <w:r w:rsidR="005845C1">
        <w:rPr>
          <w:rFonts w:eastAsia="Arial" w:cs="Arial"/>
          <w:bCs/>
          <w:szCs w:val="20"/>
        </w:rPr>
        <w:t>;</w:t>
      </w:r>
      <w:r w:rsidR="005845C1" w:rsidRPr="005845C1">
        <w:t xml:space="preserve"> </w:t>
      </w:r>
      <w:r w:rsidR="005845C1" w:rsidRPr="005845C1">
        <w:rPr>
          <w:rFonts w:eastAsia="Arial" w:cs="Arial"/>
          <w:b/>
          <w:color w:val="1F497D" w:themeColor="text2"/>
          <w:szCs w:val="20"/>
        </w:rPr>
        <w:t>AND</w:t>
      </w:r>
    </w:p>
    <w:p w14:paraId="34E2A6D6" w14:textId="2AA04359" w:rsidR="000F631C" w:rsidRPr="005845C1" w:rsidRDefault="005845C1" w:rsidP="005845C1">
      <w:pPr>
        <w:pStyle w:val="ListParagraph"/>
        <w:numPr>
          <w:ilvl w:val="0"/>
          <w:numId w:val="21"/>
        </w:numPr>
        <w:jc w:val="both"/>
        <w:rPr>
          <w:rFonts w:eastAsia="Arial" w:cs="Arial"/>
          <w:b/>
          <w:color w:val="1F497D" w:themeColor="text2"/>
          <w:szCs w:val="20"/>
          <w:u w:val="single"/>
        </w:rPr>
      </w:pPr>
      <w:r w:rsidRPr="005845C1">
        <w:rPr>
          <w:rFonts w:eastAsia="Arial" w:cs="Arial"/>
          <w:b/>
          <w:color w:val="1F497D" w:themeColor="text2"/>
          <w:szCs w:val="20"/>
        </w:rPr>
        <w:t>Documented compliance on concurrent therapy of standard lipid lowering agent.</w:t>
      </w:r>
    </w:p>
    <w:p w14:paraId="76273F59" w14:textId="77777777" w:rsidR="000F631C" w:rsidRPr="00807005" w:rsidRDefault="000F631C" w:rsidP="000F631C">
      <w:pPr>
        <w:pStyle w:val="ListParagraph"/>
        <w:numPr>
          <w:ilvl w:val="0"/>
          <w:numId w:val="21"/>
        </w:numPr>
        <w:jc w:val="both"/>
        <w:rPr>
          <w:rFonts w:eastAsia="Arial" w:cs="Arial"/>
          <w:b/>
          <w:szCs w:val="20"/>
          <w:u w:val="single"/>
        </w:rPr>
      </w:pPr>
      <w:r>
        <w:rPr>
          <w:rFonts w:eastAsia="Arial" w:cs="Arial"/>
          <w:bCs/>
          <w:szCs w:val="20"/>
        </w:rPr>
        <w:t>Continuation of therapy approval period: 12 months</w:t>
      </w:r>
    </w:p>
    <w:p w14:paraId="67B24D45" w14:textId="77777777" w:rsidR="00677732" w:rsidRPr="00A4145C" w:rsidRDefault="00677732" w:rsidP="00677732">
      <w:pPr>
        <w:pStyle w:val="ListParagraph"/>
        <w:numPr>
          <w:ilvl w:val="0"/>
          <w:numId w:val="0"/>
        </w:numPr>
        <w:ind w:left="360"/>
        <w:rPr>
          <w:rFonts w:eastAsia="Arial"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2FF80C0D" w14:textId="77777777" w:rsidR="00D31C91" w:rsidRDefault="00D31C91" w:rsidP="00D31C91">
      <w:pPr>
        <w:pStyle w:val="ListParagraph"/>
        <w:numPr>
          <w:ilvl w:val="0"/>
          <w:numId w:val="19"/>
        </w:numPr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Therapy will deny with presence of one of the folllowing:</w:t>
      </w:r>
    </w:p>
    <w:p w14:paraId="59F31DD8" w14:textId="18DA406C" w:rsidR="00D31C91" w:rsidRPr="009927E3" w:rsidRDefault="00D31C91" w:rsidP="000C3F84">
      <w:pPr>
        <w:pStyle w:val="ListParagraph"/>
        <w:numPr>
          <w:ilvl w:val="1"/>
          <w:numId w:val="19"/>
        </w:numPr>
        <w:rPr>
          <w:rFonts w:cs="Arial"/>
          <w:b/>
          <w:bCs/>
          <w:noProof/>
          <w:color w:val="1F497D" w:themeColor="text2"/>
          <w:szCs w:val="20"/>
        </w:rPr>
      </w:pPr>
      <w:r>
        <w:rPr>
          <w:rFonts w:cs="Arial"/>
          <w:noProof/>
          <w:szCs w:val="20"/>
        </w:rPr>
        <w:t>Any approval criteria are not met</w:t>
      </w:r>
      <w:r w:rsidR="00E01608">
        <w:rPr>
          <w:rFonts w:cs="Arial"/>
          <w:noProof/>
          <w:szCs w:val="20"/>
        </w:rPr>
        <w:t xml:space="preserve">; </w:t>
      </w:r>
      <w:r w:rsidR="00921838" w:rsidRPr="009927E3">
        <w:rPr>
          <w:rFonts w:cs="Arial"/>
          <w:b/>
          <w:bCs/>
          <w:noProof/>
          <w:color w:val="1F497D" w:themeColor="text2"/>
          <w:szCs w:val="20"/>
        </w:rPr>
        <w:t>OR</w:t>
      </w:r>
    </w:p>
    <w:p w14:paraId="2618ABE6" w14:textId="6E9897E6" w:rsidR="00921838" w:rsidRPr="009927E3" w:rsidRDefault="00497983" w:rsidP="000C3F84">
      <w:pPr>
        <w:pStyle w:val="ListParagraph"/>
        <w:numPr>
          <w:ilvl w:val="1"/>
          <w:numId w:val="19"/>
        </w:numPr>
        <w:rPr>
          <w:rFonts w:cs="Arial"/>
          <w:b/>
          <w:bCs/>
          <w:noProof/>
          <w:color w:val="1F497D" w:themeColor="text2"/>
          <w:szCs w:val="20"/>
        </w:rPr>
      </w:pPr>
      <w:r w:rsidRPr="009927E3">
        <w:rPr>
          <w:rFonts w:cs="Arial"/>
          <w:b/>
          <w:bCs/>
          <w:noProof/>
          <w:color w:val="1F497D" w:themeColor="text2"/>
          <w:szCs w:val="20"/>
        </w:rPr>
        <w:t>Concurrent therapy with anot</w:t>
      </w:r>
      <w:r w:rsidR="009927E3" w:rsidRPr="009927E3">
        <w:rPr>
          <w:rFonts w:cs="Arial"/>
          <w:b/>
          <w:bCs/>
          <w:noProof/>
          <w:color w:val="1F497D" w:themeColor="text2"/>
          <w:szCs w:val="20"/>
        </w:rPr>
        <w:t>her agent in this class.</w:t>
      </w:r>
    </w:p>
    <w:p w14:paraId="1D791F2E" w14:textId="42802AE8" w:rsidR="00DA4082" w:rsidRPr="00CB07D3" w:rsidRDefault="00DA4082" w:rsidP="00DA4082">
      <w:pPr>
        <w:pStyle w:val="ListParagraph"/>
        <w:numPr>
          <w:ilvl w:val="0"/>
          <w:numId w:val="19"/>
        </w:numPr>
        <w:jc w:val="both"/>
        <w:rPr>
          <w:rFonts w:eastAsia="Arial" w:cs="Arial"/>
          <w:szCs w:val="20"/>
        </w:rPr>
      </w:pPr>
      <w:r w:rsidRPr="00CB07D3">
        <w:rPr>
          <w:rFonts w:eastAsia="Arial" w:cs="Arial"/>
          <w:szCs w:val="20"/>
        </w:rPr>
        <w:t>Additional denial criteria for Tryngolza:</w:t>
      </w:r>
    </w:p>
    <w:p w14:paraId="4AADD7E4" w14:textId="6CD41751" w:rsidR="00DA4082" w:rsidRPr="00CB07D3" w:rsidRDefault="00DA4082" w:rsidP="00DA4082">
      <w:pPr>
        <w:pStyle w:val="ListParagraph"/>
        <w:numPr>
          <w:ilvl w:val="1"/>
          <w:numId w:val="19"/>
        </w:numPr>
        <w:jc w:val="both"/>
        <w:rPr>
          <w:rFonts w:eastAsia="Arial" w:cs="Arial"/>
          <w:szCs w:val="20"/>
        </w:rPr>
      </w:pPr>
      <w:r w:rsidRPr="00CB07D3">
        <w:rPr>
          <w:rFonts w:eastAsia="Arial" w:cs="Arial"/>
          <w:szCs w:val="20"/>
        </w:rPr>
        <w:t>Documented platelet count &lt; 100,000/mm</w:t>
      </w:r>
      <w:r w:rsidRPr="00CB07D3">
        <w:rPr>
          <w:rFonts w:eastAsia="Arial" w:cs="Arial"/>
          <w:szCs w:val="20"/>
          <w:vertAlign w:val="superscript"/>
        </w:rPr>
        <w:t>3</w:t>
      </w:r>
      <w:r w:rsidRPr="00CB07D3">
        <w:rPr>
          <w:rFonts w:eastAsia="Arial" w:cs="Arial"/>
          <w:szCs w:val="20"/>
        </w:rPr>
        <w:t>.</w:t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B4EAF92" w14:textId="68950AA4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="00BF0D61" w:rsidRPr="00973BD6">
        <w:t>Exception Code “0</w:t>
      </w:r>
      <w:r w:rsidR="00BF0D61">
        <w:t>160</w:t>
      </w:r>
      <w:r w:rsidR="00BF0D61" w:rsidRPr="00973BD6">
        <w:t>” (</w:t>
      </w:r>
      <w:r w:rsidR="00BF0D61">
        <w:t>Preferred Drug List</w:t>
      </w:r>
      <w:r w:rsidR="00BF0D61" w:rsidRPr="00973BD6">
        <w:t>)</w:t>
      </w:r>
    </w:p>
    <w:p w14:paraId="41852F7C" w14:textId="77777777" w:rsidR="002F2E95" w:rsidRDefault="005F6104" w:rsidP="00061878">
      <w:pPr>
        <w:rPr>
          <w:b/>
          <w:bCs/>
        </w:rPr>
      </w:pPr>
      <w:r w:rsidRPr="00696E3A">
        <w:rPr>
          <w:b/>
          <w:bCs/>
        </w:rPr>
        <w:t>Rule Type:</w:t>
      </w:r>
      <w:r w:rsidRPr="00C02553">
        <w:t xml:space="preserve"> </w:t>
      </w:r>
      <w:r w:rsidR="002F2E95">
        <w:t>PDL</w:t>
      </w:r>
      <w:r w:rsidR="002F2E95" w:rsidRPr="00696E3A">
        <w:rPr>
          <w:b/>
          <w:bCs/>
        </w:rPr>
        <w:t xml:space="preserve"> </w:t>
      </w:r>
    </w:p>
    <w:p w14:paraId="7152F665" w14:textId="236A5680" w:rsidR="00061878" w:rsidRPr="004E3570" w:rsidRDefault="00343D6B" w:rsidP="00061878">
      <w:pPr>
        <w:rPr>
          <w:rFonts w:cs="Arial"/>
          <w:szCs w:val="20"/>
        </w:rPr>
      </w:pPr>
      <w:r w:rsidRPr="00696E3A">
        <w:rPr>
          <w:b/>
          <w:bCs/>
        </w:rPr>
        <w:t>Default Approval Period:</w:t>
      </w:r>
      <w:r w:rsidR="00973BD6">
        <w:t xml:space="preserve"> </w:t>
      </w:r>
      <w:r w:rsidR="00061878" w:rsidRPr="00657ADC">
        <w:rPr>
          <w:rFonts w:cs="Arial"/>
          <w:szCs w:val="20"/>
        </w:rPr>
        <w:t>6 months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References</w:t>
      </w:r>
    </w:p>
    <w:p w14:paraId="7BFA7E3E" w14:textId="3AAD248F" w:rsidR="00CB77D9" w:rsidRPr="00447CB7" w:rsidRDefault="00CB77D9" w:rsidP="00447CB7">
      <w:pPr>
        <w:numPr>
          <w:ilvl w:val="0"/>
          <w:numId w:val="22"/>
        </w:numPr>
        <w:rPr>
          <w:rFonts w:cs="Arial"/>
        </w:rPr>
      </w:pPr>
      <w:r w:rsidRPr="00AC3131">
        <w:rPr>
          <w:rFonts w:cs="Arial"/>
        </w:rPr>
        <w:t>Evidence-Based Medicine and Fiscal Analysis: “</w:t>
      </w:r>
      <w:r w:rsidR="00447CB7">
        <w:rPr>
          <w:rFonts w:cs="Arial"/>
        </w:rPr>
        <w:t>Cardiovascular</w:t>
      </w:r>
      <w:r>
        <w:rPr>
          <w:rFonts w:cs="Arial"/>
        </w:rPr>
        <w:t xml:space="preserve">: </w:t>
      </w:r>
      <w:r w:rsidR="00447CB7" w:rsidRPr="00447CB7">
        <w:rPr>
          <w:rFonts w:cs="Arial"/>
        </w:rPr>
        <w:t>Apolipoprotein CIII Inhibitors</w:t>
      </w:r>
      <w:r w:rsidRPr="00447CB7">
        <w:rPr>
          <w:rFonts w:cs="Arial"/>
        </w:rPr>
        <w:t xml:space="preserve">” – Therapeutic Class Review”, Gainwell Technologies. </w:t>
      </w:r>
      <w:r w:rsidR="00447CB7" w:rsidRPr="00447CB7">
        <w:rPr>
          <w:rFonts w:cs="Arial"/>
        </w:rPr>
        <w:t>July</w:t>
      </w:r>
      <w:r w:rsidRPr="00447CB7">
        <w:rPr>
          <w:rFonts w:cs="Arial"/>
        </w:rPr>
        <w:t xml:space="preserve"> 202</w:t>
      </w:r>
      <w:r w:rsidR="00447CB7" w:rsidRPr="00447CB7">
        <w:rPr>
          <w:rFonts w:cs="Arial"/>
        </w:rPr>
        <w:t>6</w:t>
      </w:r>
      <w:r w:rsidRPr="00447CB7">
        <w:rPr>
          <w:rFonts w:cs="Arial"/>
        </w:rPr>
        <w:t>.</w:t>
      </w:r>
    </w:p>
    <w:p w14:paraId="2A1083C4" w14:textId="0E0F4C9B" w:rsidR="00872FB1" w:rsidRDefault="00872FB1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r w:rsidRPr="00872FB1">
        <w:rPr>
          <w:rFonts w:cs="Arial"/>
          <w:sz w:val="20"/>
          <w:shd w:val="clear" w:color="auto" w:fill="FFFFFF"/>
        </w:rPr>
        <w:t>Tryngolza (olezarsen) [Package Insert]. Carlsbad, CA: Ionis Pharmaceuticals. J</w:t>
      </w:r>
      <w:r w:rsidR="00CB2D51">
        <w:rPr>
          <w:rFonts w:cs="Arial"/>
          <w:sz w:val="20"/>
          <w:shd w:val="clear" w:color="auto" w:fill="FFFFFF"/>
        </w:rPr>
        <w:t>une</w:t>
      </w:r>
      <w:r w:rsidRPr="00872FB1">
        <w:rPr>
          <w:rFonts w:cs="Arial"/>
          <w:sz w:val="20"/>
          <w:shd w:val="clear" w:color="auto" w:fill="FFFFFF"/>
        </w:rPr>
        <w:t xml:space="preserve"> 202</w:t>
      </w:r>
      <w:r w:rsidR="00CB2D51">
        <w:rPr>
          <w:rFonts w:cs="Arial"/>
          <w:sz w:val="20"/>
          <w:shd w:val="clear" w:color="auto" w:fill="FFFFFF"/>
        </w:rPr>
        <w:t>6</w:t>
      </w:r>
      <w:r w:rsidRPr="00872FB1">
        <w:rPr>
          <w:rFonts w:cs="Arial"/>
          <w:sz w:val="20"/>
          <w:shd w:val="clear" w:color="auto" w:fill="FFFFFF"/>
        </w:rPr>
        <w:t>.</w:t>
      </w:r>
    </w:p>
    <w:p w14:paraId="67C58A11" w14:textId="66A0B658" w:rsidR="00B832AC" w:rsidRPr="00872FB1" w:rsidRDefault="00B832AC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r>
        <w:rPr>
          <w:rFonts w:cs="Arial"/>
          <w:sz w:val="20"/>
          <w:shd w:val="clear" w:color="auto" w:fill="FFFFFF"/>
        </w:rPr>
        <w:t xml:space="preserve">Redemplo (plozasiran) [Package Insert]. </w:t>
      </w:r>
      <w:r w:rsidR="007954D1">
        <w:rPr>
          <w:rFonts w:cs="Arial"/>
          <w:sz w:val="20"/>
          <w:shd w:val="clear" w:color="auto" w:fill="FFFFFF"/>
        </w:rPr>
        <w:t>Pasadena, CA:</w:t>
      </w:r>
      <w:r w:rsidR="00C21B52" w:rsidRPr="00C21B52">
        <w:rPr>
          <w:sz w:val="20"/>
          <w:szCs w:val="24"/>
        </w:rPr>
        <w:t xml:space="preserve"> </w:t>
      </w:r>
      <w:r w:rsidR="00C21B52" w:rsidRPr="00C21B52">
        <w:rPr>
          <w:rFonts w:cs="Arial"/>
          <w:sz w:val="20"/>
          <w:shd w:val="clear" w:color="auto" w:fill="FFFFFF"/>
        </w:rPr>
        <w:t>Arrowhead Pharmaceuticals, Inc.</w:t>
      </w:r>
      <w:r w:rsidR="00C21B52">
        <w:rPr>
          <w:rFonts w:cs="Arial"/>
          <w:sz w:val="20"/>
          <w:shd w:val="clear" w:color="auto" w:fill="FFFFFF"/>
        </w:rPr>
        <w:t xml:space="preserve"> November 2025.</w:t>
      </w:r>
    </w:p>
    <w:p w14:paraId="569BC52D" w14:textId="77777777" w:rsidR="00872FB1" w:rsidRDefault="00872FB1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r w:rsidRPr="00872FB1">
        <w:rPr>
          <w:rFonts w:cs="Arial"/>
          <w:sz w:val="20"/>
          <w:shd w:val="clear" w:color="auto" w:fill="FFFFFF"/>
        </w:rPr>
        <w:t>IPD Analytics. New Drug Review: Tryngolza. January 2025</w:t>
      </w:r>
    </w:p>
    <w:p w14:paraId="0FCB93B6" w14:textId="3281BE60" w:rsidR="00ED2102" w:rsidRPr="00872FB1" w:rsidRDefault="00ED2102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r w:rsidRPr="00872FB1">
        <w:rPr>
          <w:rFonts w:cs="Arial"/>
          <w:sz w:val="20"/>
          <w:shd w:val="clear" w:color="auto" w:fill="FFFFFF"/>
        </w:rPr>
        <w:t>IPD Analytics.</w:t>
      </w:r>
      <w:r>
        <w:rPr>
          <w:rFonts w:cs="Arial"/>
          <w:sz w:val="20"/>
          <w:shd w:val="clear" w:color="auto" w:fill="FFFFFF"/>
        </w:rPr>
        <w:t xml:space="preserve"> </w:t>
      </w:r>
      <w:r w:rsidR="00176E4D" w:rsidRPr="00176E4D">
        <w:rPr>
          <w:rFonts w:cs="Arial"/>
          <w:sz w:val="20"/>
          <w:shd w:val="clear" w:color="auto" w:fill="FFFFFF"/>
        </w:rPr>
        <w:t>Tryngolza Approved to Reduce Triglycerides and Risk of Pancreatitis in sHTG</w:t>
      </w:r>
      <w:r w:rsidR="00176E4D">
        <w:rPr>
          <w:rFonts w:cs="Arial"/>
          <w:sz w:val="20"/>
          <w:shd w:val="clear" w:color="auto" w:fill="FFFFFF"/>
        </w:rPr>
        <w:t>. July 2026</w:t>
      </w:r>
    </w:p>
    <w:p w14:paraId="30E83A6C" w14:textId="77777777" w:rsidR="00872FB1" w:rsidRPr="00872FB1" w:rsidRDefault="00872FB1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r w:rsidRPr="00872FB1">
        <w:rPr>
          <w:rFonts w:cs="Arial"/>
          <w:sz w:val="20"/>
          <w:shd w:val="clear" w:color="auto" w:fill="FFFFFF"/>
        </w:rPr>
        <w:t>The burden of familial chylomicronemia syndrome: Results from the global IN-FOCUS study. Davidson, Michael et al. Journal of Clinical Lipidology, Volume 12, Issue 4, 898 - 907.e2</w:t>
      </w:r>
    </w:p>
    <w:p w14:paraId="58160A5D" w14:textId="77777777" w:rsidR="00872FB1" w:rsidRPr="00872FB1" w:rsidRDefault="00872FB1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r w:rsidRPr="00872FB1">
        <w:rPr>
          <w:rFonts w:cs="Arial"/>
          <w:sz w:val="20"/>
          <w:shd w:val="clear" w:color="auto" w:fill="FFFFFF"/>
        </w:rPr>
        <w:t>Familial Chylomicronemia Syndrome (FCS). The American Association of Endocrinologists. 2018.</w:t>
      </w:r>
    </w:p>
    <w:p w14:paraId="3FA1E7DB" w14:textId="590F6CB1" w:rsidR="00777CA4" w:rsidRDefault="00872FB1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r w:rsidRPr="00872FB1">
        <w:rPr>
          <w:rFonts w:cs="Arial"/>
          <w:sz w:val="20"/>
          <w:shd w:val="clear" w:color="auto" w:fill="FFFFFF"/>
        </w:rPr>
        <w:t>Familial Chylomicronemia Syndrome: A Clinical Guide for Endocrinologists. Falko, James M. Endocrine Practice, Volume 24, Issue 8, 756 – 763.</w:t>
      </w:r>
    </w:p>
    <w:p w14:paraId="5C187349" w14:textId="77777777" w:rsidR="003D2CDB" w:rsidRDefault="003D2CDB" w:rsidP="003D2CDB">
      <w:pPr>
        <w:numPr>
          <w:ilvl w:val="0"/>
          <w:numId w:val="22"/>
        </w:numPr>
        <w:rPr>
          <w:rFonts w:cs="Arial"/>
          <w:szCs w:val="20"/>
        </w:rPr>
      </w:pPr>
      <w:r w:rsidRPr="00BC5635">
        <w:rPr>
          <w:rFonts w:cs="Arial"/>
          <w:szCs w:val="20"/>
        </w:rPr>
        <w:t>USPDI, Micromedex; 202</w:t>
      </w:r>
      <w:r>
        <w:rPr>
          <w:rFonts w:cs="Arial"/>
          <w:szCs w:val="20"/>
        </w:rPr>
        <w:t>6</w:t>
      </w:r>
      <w:r w:rsidRPr="00BC5635">
        <w:rPr>
          <w:rFonts w:cs="Arial"/>
          <w:szCs w:val="20"/>
        </w:rPr>
        <w:t xml:space="preserve">. </w:t>
      </w:r>
    </w:p>
    <w:p w14:paraId="310BA9A3" w14:textId="0C898008" w:rsidR="003D2CDB" w:rsidRPr="00C6344B" w:rsidRDefault="003D2CDB" w:rsidP="003D2CDB">
      <w:pPr>
        <w:numPr>
          <w:ilvl w:val="0"/>
          <w:numId w:val="22"/>
        </w:numPr>
        <w:rPr>
          <w:rFonts w:cs="Arial"/>
          <w:szCs w:val="20"/>
        </w:rPr>
      </w:pPr>
      <w:r w:rsidRPr="00B20838">
        <w:rPr>
          <w:rFonts w:cs="Arial"/>
          <w:szCs w:val="20"/>
        </w:rPr>
        <w:t>Clinical Pharmacology [online]. 202</w:t>
      </w:r>
      <w:r>
        <w:rPr>
          <w:rFonts w:cs="Arial"/>
          <w:szCs w:val="20"/>
        </w:rPr>
        <w:t>6.</w:t>
      </w:r>
    </w:p>
    <w:p w14:paraId="10B3C851" w14:textId="77777777" w:rsidR="003D2CDB" w:rsidRPr="00872FB1" w:rsidRDefault="003D2CDB" w:rsidP="003D2CDB">
      <w:pPr>
        <w:pStyle w:val="Header"/>
        <w:ind w:left="360"/>
        <w:rPr>
          <w:rFonts w:cs="Arial"/>
          <w:sz w:val="20"/>
          <w:shd w:val="clear" w:color="auto" w:fill="FFFFFF"/>
        </w:rPr>
      </w:pPr>
    </w:p>
    <w:sectPr w:rsidR="003D2CDB" w:rsidRPr="00872FB1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8F194" w14:textId="77777777" w:rsidR="00A5640D" w:rsidRPr="00C02553" w:rsidRDefault="00A5640D" w:rsidP="00AE77DB">
      <w:r w:rsidRPr="00C02553">
        <w:separator/>
      </w:r>
    </w:p>
  </w:endnote>
  <w:endnote w:type="continuationSeparator" w:id="0">
    <w:p w14:paraId="4406A37E" w14:textId="77777777" w:rsidR="00A5640D" w:rsidRPr="00C02553" w:rsidRDefault="00A5640D" w:rsidP="00AE77DB">
      <w:r w:rsidRPr="00C02553">
        <w:continuationSeparator/>
      </w:r>
    </w:p>
  </w:endnote>
  <w:endnote w:type="continuationNotice" w:id="1">
    <w:p w14:paraId="182E0062" w14:textId="77777777" w:rsidR="00A5640D" w:rsidRPr="00C02553" w:rsidRDefault="00A564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 xml:space="preserve">SmartPA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SmartPA</w:t>
    </w:r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F3D65" w14:textId="77777777" w:rsidR="00A5640D" w:rsidRPr="00C02553" w:rsidRDefault="00A5640D" w:rsidP="00AE77DB">
      <w:r w:rsidRPr="00C02553">
        <w:separator/>
      </w:r>
    </w:p>
  </w:footnote>
  <w:footnote w:type="continuationSeparator" w:id="0">
    <w:p w14:paraId="5689DBF3" w14:textId="77777777" w:rsidR="00A5640D" w:rsidRPr="00C02553" w:rsidRDefault="00A5640D" w:rsidP="00AE77DB">
      <w:r w:rsidRPr="00C02553">
        <w:continuationSeparator/>
      </w:r>
    </w:p>
  </w:footnote>
  <w:footnote w:type="continuationNotice" w:id="1">
    <w:p w14:paraId="69F257F5" w14:textId="77777777" w:rsidR="00A5640D" w:rsidRPr="00C02553" w:rsidRDefault="00A564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496B26A2" w:rsidR="00006A61" w:rsidRPr="00C02553" w:rsidRDefault="009F1BD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63E91C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9159313" o:spid="_x0000_s1026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4AD1D323" w:rsidR="00596936" w:rsidRDefault="009F1BD1">
    <w:pPr>
      <w:pStyle w:val="Header"/>
    </w:pPr>
    <w:r>
      <w:rPr>
        <w:noProof/>
      </w:rPr>
      <w:pict w14:anchorId="30E48BB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9159314" o:spid="_x0000_s1027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008668" w:rsidR="00006A61" w:rsidRPr="00C02553" w:rsidRDefault="009F1BD1">
    <w:pPr>
      <w:pStyle w:val="Header"/>
      <w:rPr>
        <w:rFonts w:ascii="Times New Roman" w:hAnsi="Times New Roman"/>
      </w:rPr>
    </w:pPr>
    <w:r>
      <w:rPr>
        <w:noProof/>
      </w:rPr>
      <w:pict w14:anchorId="0F535C1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9159312" o:spid="_x0000_s1025" type="#_x0000_t136" style="position:absolute;margin-left:0;margin-top:0;width:471.3pt;height:188.5pt;rotation:315;z-index:-251658240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3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7E15444"/>
    <w:multiLevelType w:val="hybridMultilevel"/>
    <w:tmpl w:val="7B7A8F1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0C272D3"/>
    <w:multiLevelType w:val="hybridMultilevel"/>
    <w:tmpl w:val="D738416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4A32A5D"/>
    <w:multiLevelType w:val="hybridMultilevel"/>
    <w:tmpl w:val="D9BC7E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470D2E"/>
    <w:multiLevelType w:val="hybridMultilevel"/>
    <w:tmpl w:val="79B45C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BF7EE3"/>
    <w:multiLevelType w:val="hybridMultilevel"/>
    <w:tmpl w:val="F572D9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C239C9"/>
    <w:multiLevelType w:val="hybridMultilevel"/>
    <w:tmpl w:val="4142D7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4185686"/>
    <w:multiLevelType w:val="hybridMultilevel"/>
    <w:tmpl w:val="9EFCAC7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353422"/>
    <w:multiLevelType w:val="hybridMultilevel"/>
    <w:tmpl w:val="C3148890"/>
    <w:lvl w:ilvl="0" w:tplc="A8A43FF4">
      <w:numFmt w:val="bullet"/>
      <w:lvlText w:val=""/>
      <w:lvlJc w:val="left"/>
      <w:pPr>
        <w:ind w:left="360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DB91844"/>
    <w:multiLevelType w:val="hybridMultilevel"/>
    <w:tmpl w:val="04A6B0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4064CF6"/>
    <w:multiLevelType w:val="hybridMultilevel"/>
    <w:tmpl w:val="C3E229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B26428C"/>
    <w:multiLevelType w:val="hybridMultilevel"/>
    <w:tmpl w:val="260E70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4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C4A66C8"/>
    <w:multiLevelType w:val="hybridMultilevel"/>
    <w:tmpl w:val="8D3EFA6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67994657">
    <w:abstractNumId w:val="0"/>
  </w:num>
  <w:num w:numId="2" w16cid:durableId="517891239">
    <w:abstractNumId w:val="24"/>
  </w:num>
  <w:num w:numId="3" w16cid:durableId="1729067566">
    <w:abstractNumId w:val="4"/>
  </w:num>
  <w:num w:numId="4" w16cid:durableId="320159068">
    <w:abstractNumId w:val="11"/>
  </w:num>
  <w:num w:numId="5" w16cid:durableId="1769498754">
    <w:abstractNumId w:val="3"/>
  </w:num>
  <w:num w:numId="6" w16cid:durableId="1094596320">
    <w:abstractNumId w:val="20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5"/>
  </w:num>
  <w:num w:numId="10" w16cid:durableId="917518096">
    <w:abstractNumId w:val="12"/>
  </w:num>
  <w:num w:numId="11" w16cid:durableId="1894998475">
    <w:abstractNumId w:val="1"/>
  </w:num>
  <w:num w:numId="12" w16cid:durableId="1418215296">
    <w:abstractNumId w:val="21"/>
  </w:num>
  <w:num w:numId="13" w16cid:durableId="604729665">
    <w:abstractNumId w:val="6"/>
  </w:num>
  <w:num w:numId="14" w16cid:durableId="1805081292">
    <w:abstractNumId w:val="17"/>
  </w:num>
  <w:num w:numId="15" w16cid:durableId="1911186802">
    <w:abstractNumId w:val="7"/>
  </w:num>
  <w:num w:numId="16" w16cid:durableId="1014304344">
    <w:abstractNumId w:val="22"/>
  </w:num>
  <w:num w:numId="17" w16cid:durableId="1397899452">
    <w:abstractNumId w:val="19"/>
  </w:num>
  <w:num w:numId="18" w16cid:durableId="279147771">
    <w:abstractNumId w:val="20"/>
  </w:num>
  <w:num w:numId="19" w16cid:durableId="69162268">
    <w:abstractNumId w:val="23"/>
  </w:num>
  <w:num w:numId="20" w16cid:durableId="404764218">
    <w:abstractNumId w:val="14"/>
  </w:num>
  <w:num w:numId="21" w16cid:durableId="206333351">
    <w:abstractNumId w:val="25"/>
  </w:num>
  <w:num w:numId="22" w16cid:durableId="2012370405">
    <w:abstractNumId w:val="10"/>
  </w:num>
  <w:num w:numId="23" w16cid:durableId="2035961208">
    <w:abstractNumId w:val="5"/>
  </w:num>
  <w:num w:numId="24" w16cid:durableId="169833968">
    <w:abstractNumId w:val="18"/>
  </w:num>
  <w:num w:numId="25" w16cid:durableId="781807876">
    <w:abstractNumId w:val="9"/>
  </w:num>
  <w:num w:numId="26" w16cid:durableId="1684896180">
    <w:abstractNumId w:val="16"/>
  </w:num>
  <w:num w:numId="27" w16cid:durableId="838927988">
    <w:abstractNumId w:val="13"/>
  </w:num>
  <w:num w:numId="28" w16cid:durableId="1387872654">
    <w:abstractNumId w:val="26"/>
  </w:num>
  <w:num w:numId="29" w16cid:durableId="84739169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Qyqq3LVxKKUw/uLFiGdaGJmYrKO3UjFXvp4H6aP54CkTCaVLXVt/JfrqCwctQOB2pPddnix2gmoSJfXsKGTzTQ==" w:salt="tUeCeSu9ctArQ+sZPQCZIw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1FAB"/>
    <w:rsid w:val="000344C5"/>
    <w:rsid w:val="000363BB"/>
    <w:rsid w:val="00040AD3"/>
    <w:rsid w:val="000429D6"/>
    <w:rsid w:val="00053807"/>
    <w:rsid w:val="000572E5"/>
    <w:rsid w:val="00061541"/>
    <w:rsid w:val="00061878"/>
    <w:rsid w:val="000630A6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46E7"/>
    <w:rsid w:val="000A6279"/>
    <w:rsid w:val="000B496B"/>
    <w:rsid w:val="000C3940"/>
    <w:rsid w:val="000C3F84"/>
    <w:rsid w:val="000C5992"/>
    <w:rsid w:val="000E1479"/>
    <w:rsid w:val="000E231E"/>
    <w:rsid w:val="000E247D"/>
    <w:rsid w:val="000E6B14"/>
    <w:rsid w:val="000E70D8"/>
    <w:rsid w:val="000F631C"/>
    <w:rsid w:val="00101015"/>
    <w:rsid w:val="00106146"/>
    <w:rsid w:val="001062F6"/>
    <w:rsid w:val="0011054F"/>
    <w:rsid w:val="00112FC7"/>
    <w:rsid w:val="00125F5F"/>
    <w:rsid w:val="00126951"/>
    <w:rsid w:val="00126B60"/>
    <w:rsid w:val="00127EF6"/>
    <w:rsid w:val="001310AD"/>
    <w:rsid w:val="001314A5"/>
    <w:rsid w:val="00132C7F"/>
    <w:rsid w:val="0014193A"/>
    <w:rsid w:val="00143544"/>
    <w:rsid w:val="00143A11"/>
    <w:rsid w:val="00144DBE"/>
    <w:rsid w:val="00152C8B"/>
    <w:rsid w:val="0015636A"/>
    <w:rsid w:val="00172053"/>
    <w:rsid w:val="00176E4D"/>
    <w:rsid w:val="00177A80"/>
    <w:rsid w:val="001808B8"/>
    <w:rsid w:val="00181931"/>
    <w:rsid w:val="001875EC"/>
    <w:rsid w:val="001A50CB"/>
    <w:rsid w:val="001A74B7"/>
    <w:rsid w:val="001B2D47"/>
    <w:rsid w:val="001B5F66"/>
    <w:rsid w:val="001C0250"/>
    <w:rsid w:val="001C6DA4"/>
    <w:rsid w:val="001C73B1"/>
    <w:rsid w:val="001D1E7D"/>
    <w:rsid w:val="001D5213"/>
    <w:rsid w:val="001D6567"/>
    <w:rsid w:val="001E1ADE"/>
    <w:rsid w:val="001E2353"/>
    <w:rsid w:val="001E25C2"/>
    <w:rsid w:val="001E2CCB"/>
    <w:rsid w:val="001E4CBA"/>
    <w:rsid w:val="001E523C"/>
    <w:rsid w:val="001E6008"/>
    <w:rsid w:val="001E61DF"/>
    <w:rsid w:val="001E78E1"/>
    <w:rsid w:val="001F2B9F"/>
    <w:rsid w:val="001F3A35"/>
    <w:rsid w:val="001F3F54"/>
    <w:rsid w:val="001F5954"/>
    <w:rsid w:val="001F7417"/>
    <w:rsid w:val="00202DD3"/>
    <w:rsid w:val="00206E7D"/>
    <w:rsid w:val="00215E08"/>
    <w:rsid w:val="00217E14"/>
    <w:rsid w:val="00217EFD"/>
    <w:rsid w:val="00222134"/>
    <w:rsid w:val="0022233F"/>
    <w:rsid w:val="00222EE6"/>
    <w:rsid w:val="00226275"/>
    <w:rsid w:val="00244102"/>
    <w:rsid w:val="00246564"/>
    <w:rsid w:val="00246A3B"/>
    <w:rsid w:val="00250FBF"/>
    <w:rsid w:val="00255404"/>
    <w:rsid w:val="0025594F"/>
    <w:rsid w:val="00265513"/>
    <w:rsid w:val="00270C5E"/>
    <w:rsid w:val="00276BCE"/>
    <w:rsid w:val="00290A03"/>
    <w:rsid w:val="0029159A"/>
    <w:rsid w:val="00291600"/>
    <w:rsid w:val="002A02F4"/>
    <w:rsid w:val="002C2C41"/>
    <w:rsid w:val="002C62E7"/>
    <w:rsid w:val="002D25BE"/>
    <w:rsid w:val="002D7442"/>
    <w:rsid w:val="002E05E2"/>
    <w:rsid w:val="002E124D"/>
    <w:rsid w:val="002E2DD6"/>
    <w:rsid w:val="002E3F28"/>
    <w:rsid w:val="002E4723"/>
    <w:rsid w:val="002F0E52"/>
    <w:rsid w:val="002F2274"/>
    <w:rsid w:val="002F2405"/>
    <w:rsid w:val="002F2E95"/>
    <w:rsid w:val="002F690F"/>
    <w:rsid w:val="003024AE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276BF"/>
    <w:rsid w:val="00330DD4"/>
    <w:rsid w:val="003345D2"/>
    <w:rsid w:val="003355AC"/>
    <w:rsid w:val="00343D6B"/>
    <w:rsid w:val="00346090"/>
    <w:rsid w:val="00347FB5"/>
    <w:rsid w:val="00351588"/>
    <w:rsid w:val="00351E4B"/>
    <w:rsid w:val="00352407"/>
    <w:rsid w:val="00355515"/>
    <w:rsid w:val="003608B5"/>
    <w:rsid w:val="003613AF"/>
    <w:rsid w:val="00362FB2"/>
    <w:rsid w:val="003878C1"/>
    <w:rsid w:val="00396C0B"/>
    <w:rsid w:val="003A630F"/>
    <w:rsid w:val="003B3958"/>
    <w:rsid w:val="003B4820"/>
    <w:rsid w:val="003B549C"/>
    <w:rsid w:val="003B5F4B"/>
    <w:rsid w:val="003B682F"/>
    <w:rsid w:val="003C4518"/>
    <w:rsid w:val="003C53FC"/>
    <w:rsid w:val="003C6F9E"/>
    <w:rsid w:val="003C7013"/>
    <w:rsid w:val="003D2CDB"/>
    <w:rsid w:val="003D4704"/>
    <w:rsid w:val="003D641B"/>
    <w:rsid w:val="003F227C"/>
    <w:rsid w:val="003F6981"/>
    <w:rsid w:val="0040191D"/>
    <w:rsid w:val="004023CC"/>
    <w:rsid w:val="00404251"/>
    <w:rsid w:val="00407564"/>
    <w:rsid w:val="00411152"/>
    <w:rsid w:val="004156AA"/>
    <w:rsid w:val="00421035"/>
    <w:rsid w:val="0042481E"/>
    <w:rsid w:val="004253A1"/>
    <w:rsid w:val="004313B6"/>
    <w:rsid w:val="004328A2"/>
    <w:rsid w:val="00433339"/>
    <w:rsid w:val="004372B3"/>
    <w:rsid w:val="004443AF"/>
    <w:rsid w:val="00446BBC"/>
    <w:rsid w:val="004472C0"/>
    <w:rsid w:val="00447CB7"/>
    <w:rsid w:val="00450705"/>
    <w:rsid w:val="00451928"/>
    <w:rsid w:val="004540E3"/>
    <w:rsid w:val="0045506D"/>
    <w:rsid w:val="004551E0"/>
    <w:rsid w:val="00460572"/>
    <w:rsid w:val="00460B5D"/>
    <w:rsid w:val="00461D8A"/>
    <w:rsid w:val="00462891"/>
    <w:rsid w:val="00463BCA"/>
    <w:rsid w:val="0046618B"/>
    <w:rsid w:val="00480114"/>
    <w:rsid w:val="00480E9C"/>
    <w:rsid w:val="0048608C"/>
    <w:rsid w:val="00493A04"/>
    <w:rsid w:val="00496E57"/>
    <w:rsid w:val="00497983"/>
    <w:rsid w:val="004A6391"/>
    <w:rsid w:val="004B16C3"/>
    <w:rsid w:val="004B3E10"/>
    <w:rsid w:val="004B5344"/>
    <w:rsid w:val="004C0F5D"/>
    <w:rsid w:val="004C2B30"/>
    <w:rsid w:val="004C375A"/>
    <w:rsid w:val="004C4954"/>
    <w:rsid w:val="004C5767"/>
    <w:rsid w:val="004D0080"/>
    <w:rsid w:val="004D5322"/>
    <w:rsid w:val="004D78B0"/>
    <w:rsid w:val="004E611F"/>
    <w:rsid w:val="004F2A79"/>
    <w:rsid w:val="004F4D37"/>
    <w:rsid w:val="004F7FEA"/>
    <w:rsid w:val="00501A14"/>
    <w:rsid w:val="00501DE3"/>
    <w:rsid w:val="005058CB"/>
    <w:rsid w:val="0051044D"/>
    <w:rsid w:val="005139E4"/>
    <w:rsid w:val="00514C8A"/>
    <w:rsid w:val="00515075"/>
    <w:rsid w:val="00516D12"/>
    <w:rsid w:val="00520FE9"/>
    <w:rsid w:val="005231FA"/>
    <w:rsid w:val="005233E7"/>
    <w:rsid w:val="00524735"/>
    <w:rsid w:val="00526C8D"/>
    <w:rsid w:val="005328B2"/>
    <w:rsid w:val="00535BD5"/>
    <w:rsid w:val="00540977"/>
    <w:rsid w:val="00544C37"/>
    <w:rsid w:val="00546F90"/>
    <w:rsid w:val="00551668"/>
    <w:rsid w:val="005567F0"/>
    <w:rsid w:val="005572D5"/>
    <w:rsid w:val="00566BE4"/>
    <w:rsid w:val="00570D21"/>
    <w:rsid w:val="00576113"/>
    <w:rsid w:val="00580112"/>
    <w:rsid w:val="005845C1"/>
    <w:rsid w:val="00590652"/>
    <w:rsid w:val="0059235F"/>
    <w:rsid w:val="00596936"/>
    <w:rsid w:val="005A2F1E"/>
    <w:rsid w:val="005A4232"/>
    <w:rsid w:val="005B2B28"/>
    <w:rsid w:val="005C3616"/>
    <w:rsid w:val="005C4DAE"/>
    <w:rsid w:val="005D36B2"/>
    <w:rsid w:val="005D52E7"/>
    <w:rsid w:val="005D78B5"/>
    <w:rsid w:val="005E3572"/>
    <w:rsid w:val="005E45E4"/>
    <w:rsid w:val="005E6D65"/>
    <w:rsid w:val="005F0A81"/>
    <w:rsid w:val="005F0FCF"/>
    <w:rsid w:val="005F56D1"/>
    <w:rsid w:val="005F6104"/>
    <w:rsid w:val="0060042F"/>
    <w:rsid w:val="006008BC"/>
    <w:rsid w:val="00602CFD"/>
    <w:rsid w:val="00606B55"/>
    <w:rsid w:val="00606DA8"/>
    <w:rsid w:val="00612A7B"/>
    <w:rsid w:val="00616E5E"/>
    <w:rsid w:val="006173A4"/>
    <w:rsid w:val="006205AD"/>
    <w:rsid w:val="0062218D"/>
    <w:rsid w:val="00625C3A"/>
    <w:rsid w:val="006301E3"/>
    <w:rsid w:val="00634061"/>
    <w:rsid w:val="006354FC"/>
    <w:rsid w:val="00635DDB"/>
    <w:rsid w:val="0064149A"/>
    <w:rsid w:val="006447EE"/>
    <w:rsid w:val="00646DFE"/>
    <w:rsid w:val="00650530"/>
    <w:rsid w:val="00650C96"/>
    <w:rsid w:val="00653788"/>
    <w:rsid w:val="0065477F"/>
    <w:rsid w:val="006560B3"/>
    <w:rsid w:val="00656896"/>
    <w:rsid w:val="00657ADC"/>
    <w:rsid w:val="00661656"/>
    <w:rsid w:val="0066374F"/>
    <w:rsid w:val="00677429"/>
    <w:rsid w:val="00677732"/>
    <w:rsid w:val="00677770"/>
    <w:rsid w:val="00677C65"/>
    <w:rsid w:val="00684C02"/>
    <w:rsid w:val="00692F67"/>
    <w:rsid w:val="00693152"/>
    <w:rsid w:val="00694FAE"/>
    <w:rsid w:val="00696E3A"/>
    <w:rsid w:val="006A0834"/>
    <w:rsid w:val="006A3F33"/>
    <w:rsid w:val="006A4BBD"/>
    <w:rsid w:val="006A52F1"/>
    <w:rsid w:val="006B561D"/>
    <w:rsid w:val="006B6805"/>
    <w:rsid w:val="006B6D5D"/>
    <w:rsid w:val="006D2330"/>
    <w:rsid w:val="006D4731"/>
    <w:rsid w:val="006D7074"/>
    <w:rsid w:val="006E0F8B"/>
    <w:rsid w:val="006E12F7"/>
    <w:rsid w:val="006E29D7"/>
    <w:rsid w:val="006E44A6"/>
    <w:rsid w:val="00700DD0"/>
    <w:rsid w:val="007068A4"/>
    <w:rsid w:val="00706D67"/>
    <w:rsid w:val="00713052"/>
    <w:rsid w:val="00721367"/>
    <w:rsid w:val="007231FA"/>
    <w:rsid w:val="00731136"/>
    <w:rsid w:val="00732C67"/>
    <w:rsid w:val="00734418"/>
    <w:rsid w:val="007422A1"/>
    <w:rsid w:val="00757080"/>
    <w:rsid w:val="00757826"/>
    <w:rsid w:val="007600F3"/>
    <w:rsid w:val="00762B13"/>
    <w:rsid w:val="007632B7"/>
    <w:rsid w:val="0076382F"/>
    <w:rsid w:val="00765768"/>
    <w:rsid w:val="00765D10"/>
    <w:rsid w:val="00766AC8"/>
    <w:rsid w:val="00767486"/>
    <w:rsid w:val="0077070E"/>
    <w:rsid w:val="0077252E"/>
    <w:rsid w:val="0077296A"/>
    <w:rsid w:val="007773E8"/>
    <w:rsid w:val="00777CA4"/>
    <w:rsid w:val="00777D9A"/>
    <w:rsid w:val="00786A49"/>
    <w:rsid w:val="00792DF0"/>
    <w:rsid w:val="0079438F"/>
    <w:rsid w:val="007954D1"/>
    <w:rsid w:val="00797AC2"/>
    <w:rsid w:val="007A0010"/>
    <w:rsid w:val="007A3034"/>
    <w:rsid w:val="007A43F8"/>
    <w:rsid w:val="007A527E"/>
    <w:rsid w:val="007A53E7"/>
    <w:rsid w:val="007A62A9"/>
    <w:rsid w:val="007A78F7"/>
    <w:rsid w:val="007B3333"/>
    <w:rsid w:val="007B379F"/>
    <w:rsid w:val="007B37D6"/>
    <w:rsid w:val="007B5D30"/>
    <w:rsid w:val="007C0DCA"/>
    <w:rsid w:val="007D16D1"/>
    <w:rsid w:val="007D2920"/>
    <w:rsid w:val="007D42DD"/>
    <w:rsid w:val="007E6A37"/>
    <w:rsid w:val="007F1774"/>
    <w:rsid w:val="007F4495"/>
    <w:rsid w:val="007F593C"/>
    <w:rsid w:val="007F7722"/>
    <w:rsid w:val="00811A70"/>
    <w:rsid w:val="0081406E"/>
    <w:rsid w:val="00823A0C"/>
    <w:rsid w:val="00832211"/>
    <w:rsid w:val="008325F4"/>
    <w:rsid w:val="00832AC8"/>
    <w:rsid w:val="00843B00"/>
    <w:rsid w:val="00846FA4"/>
    <w:rsid w:val="00851310"/>
    <w:rsid w:val="008524BA"/>
    <w:rsid w:val="00852B74"/>
    <w:rsid w:val="00856928"/>
    <w:rsid w:val="00856B46"/>
    <w:rsid w:val="00857E8B"/>
    <w:rsid w:val="00857F54"/>
    <w:rsid w:val="00865538"/>
    <w:rsid w:val="00867F71"/>
    <w:rsid w:val="00870875"/>
    <w:rsid w:val="00872FB1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F2F"/>
    <w:rsid w:val="008D237F"/>
    <w:rsid w:val="008D3FD8"/>
    <w:rsid w:val="008D6B05"/>
    <w:rsid w:val="008E3596"/>
    <w:rsid w:val="008E5C2F"/>
    <w:rsid w:val="008E7638"/>
    <w:rsid w:val="008E7D2D"/>
    <w:rsid w:val="008F44C0"/>
    <w:rsid w:val="008F5999"/>
    <w:rsid w:val="008F6CA1"/>
    <w:rsid w:val="00903AD6"/>
    <w:rsid w:val="00904D7A"/>
    <w:rsid w:val="009060E2"/>
    <w:rsid w:val="00915332"/>
    <w:rsid w:val="00915FEB"/>
    <w:rsid w:val="009204BB"/>
    <w:rsid w:val="00921838"/>
    <w:rsid w:val="009259BC"/>
    <w:rsid w:val="009347E5"/>
    <w:rsid w:val="00935918"/>
    <w:rsid w:val="00935EC3"/>
    <w:rsid w:val="0095076C"/>
    <w:rsid w:val="00951097"/>
    <w:rsid w:val="00952592"/>
    <w:rsid w:val="00953C1E"/>
    <w:rsid w:val="009611F9"/>
    <w:rsid w:val="0096210F"/>
    <w:rsid w:val="00962633"/>
    <w:rsid w:val="00963187"/>
    <w:rsid w:val="00963ACF"/>
    <w:rsid w:val="00963D1C"/>
    <w:rsid w:val="00964284"/>
    <w:rsid w:val="0097028A"/>
    <w:rsid w:val="00973BD6"/>
    <w:rsid w:val="009743B6"/>
    <w:rsid w:val="00984549"/>
    <w:rsid w:val="00985D28"/>
    <w:rsid w:val="00991BF0"/>
    <w:rsid w:val="009927E3"/>
    <w:rsid w:val="00992EA3"/>
    <w:rsid w:val="00992EE8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1BD1"/>
    <w:rsid w:val="009F21BB"/>
    <w:rsid w:val="009F518A"/>
    <w:rsid w:val="00A02AF6"/>
    <w:rsid w:val="00A05B60"/>
    <w:rsid w:val="00A13266"/>
    <w:rsid w:val="00A14355"/>
    <w:rsid w:val="00A14FA6"/>
    <w:rsid w:val="00A15D64"/>
    <w:rsid w:val="00A20575"/>
    <w:rsid w:val="00A32452"/>
    <w:rsid w:val="00A325CC"/>
    <w:rsid w:val="00A32BBF"/>
    <w:rsid w:val="00A37444"/>
    <w:rsid w:val="00A4145C"/>
    <w:rsid w:val="00A4281A"/>
    <w:rsid w:val="00A43779"/>
    <w:rsid w:val="00A459CF"/>
    <w:rsid w:val="00A5014D"/>
    <w:rsid w:val="00A53E96"/>
    <w:rsid w:val="00A5640D"/>
    <w:rsid w:val="00A56F18"/>
    <w:rsid w:val="00A628F8"/>
    <w:rsid w:val="00A62BAA"/>
    <w:rsid w:val="00A63D5B"/>
    <w:rsid w:val="00A66172"/>
    <w:rsid w:val="00A744C3"/>
    <w:rsid w:val="00A758F8"/>
    <w:rsid w:val="00A90CE2"/>
    <w:rsid w:val="00AA0AB6"/>
    <w:rsid w:val="00AA2C4F"/>
    <w:rsid w:val="00AA70AB"/>
    <w:rsid w:val="00AB0B9F"/>
    <w:rsid w:val="00AB1713"/>
    <w:rsid w:val="00AB63BE"/>
    <w:rsid w:val="00AC1EBC"/>
    <w:rsid w:val="00AC2599"/>
    <w:rsid w:val="00AC2DE9"/>
    <w:rsid w:val="00AC3CD9"/>
    <w:rsid w:val="00AC7041"/>
    <w:rsid w:val="00AD2C5F"/>
    <w:rsid w:val="00AD58AA"/>
    <w:rsid w:val="00AE1481"/>
    <w:rsid w:val="00AE27F9"/>
    <w:rsid w:val="00AE6BF9"/>
    <w:rsid w:val="00AE77DB"/>
    <w:rsid w:val="00AF7453"/>
    <w:rsid w:val="00B00FFF"/>
    <w:rsid w:val="00B01711"/>
    <w:rsid w:val="00B06084"/>
    <w:rsid w:val="00B16735"/>
    <w:rsid w:val="00B17EDE"/>
    <w:rsid w:val="00B216FA"/>
    <w:rsid w:val="00B22585"/>
    <w:rsid w:val="00B22674"/>
    <w:rsid w:val="00B33693"/>
    <w:rsid w:val="00B34C53"/>
    <w:rsid w:val="00B507A5"/>
    <w:rsid w:val="00B50FC4"/>
    <w:rsid w:val="00B52475"/>
    <w:rsid w:val="00B535DA"/>
    <w:rsid w:val="00B56DCC"/>
    <w:rsid w:val="00B56F54"/>
    <w:rsid w:val="00B638C2"/>
    <w:rsid w:val="00B73ABC"/>
    <w:rsid w:val="00B758AB"/>
    <w:rsid w:val="00B76277"/>
    <w:rsid w:val="00B772AB"/>
    <w:rsid w:val="00B77B02"/>
    <w:rsid w:val="00B80395"/>
    <w:rsid w:val="00B80B56"/>
    <w:rsid w:val="00B832AC"/>
    <w:rsid w:val="00B85077"/>
    <w:rsid w:val="00B86372"/>
    <w:rsid w:val="00BA1C17"/>
    <w:rsid w:val="00BA1D65"/>
    <w:rsid w:val="00BB3B4D"/>
    <w:rsid w:val="00BC1B8A"/>
    <w:rsid w:val="00BC2D36"/>
    <w:rsid w:val="00BC351E"/>
    <w:rsid w:val="00BC3F77"/>
    <w:rsid w:val="00BC5635"/>
    <w:rsid w:val="00BC5675"/>
    <w:rsid w:val="00BC6087"/>
    <w:rsid w:val="00BD081C"/>
    <w:rsid w:val="00BD277B"/>
    <w:rsid w:val="00BD47CA"/>
    <w:rsid w:val="00BD62C7"/>
    <w:rsid w:val="00BE020D"/>
    <w:rsid w:val="00BE354A"/>
    <w:rsid w:val="00BF0D61"/>
    <w:rsid w:val="00BF5EEF"/>
    <w:rsid w:val="00C02553"/>
    <w:rsid w:val="00C04EB6"/>
    <w:rsid w:val="00C056F9"/>
    <w:rsid w:val="00C064B9"/>
    <w:rsid w:val="00C07A7B"/>
    <w:rsid w:val="00C1018C"/>
    <w:rsid w:val="00C1150E"/>
    <w:rsid w:val="00C14D52"/>
    <w:rsid w:val="00C21B52"/>
    <w:rsid w:val="00C245F1"/>
    <w:rsid w:val="00C2586C"/>
    <w:rsid w:val="00C26001"/>
    <w:rsid w:val="00C300A4"/>
    <w:rsid w:val="00C34E72"/>
    <w:rsid w:val="00C3693E"/>
    <w:rsid w:val="00C54879"/>
    <w:rsid w:val="00C56B1F"/>
    <w:rsid w:val="00C60E5F"/>
    <w:rsid w:val="00C61B52"/>
    <w:rsid w:val="00C62745"/>
    <w:rsid w:val="00C654CA"/>
    <w:rsid w:val="00C763BD"/>
    <w:rsid w:val="00C779A8"/>
    <w:rsid w:val="00C82E19"/>
    <w:rsid w:val="00C9465A"/>
    <w:rsid w:val="00C96873"/>
    <w:rsid w:val="00C97D99"/>
    <w:rsid w:val="00CA1735"/>
    <w:rsid w:val="00CA207E"/>
    <w:rsid w:val="00CA3C4B"/>
    <w:rsid w:val="00CA7252"/>
    <w:rsid w:val="00CB07D3"/>
    <w:rsid w:val="00CB2C5A"/>
    <w:rsid w:val="00CB2D51"/>
    <w:rsid w:val="00CB77D9"/>
    <w:rsid w:val="00CD238A"/>
    <w:rsid w:val="00CE0C1C"/>
    <w:rsid w:val="00CE34AF"/>
    <w:rsid w:val="00CE4A1B"/>
    <w:rsid w:val="00CF00A4"/>
    <w:rsid w:val="00CF25FB"/>
    <w:rsid w:val="00CF614C"/>
    <w:rsid w:val="00D02F34"/>
    <w:rsid w:val="00D13D87"/>
    <w:rsid w:val="00D158EA"/>
    <w:rsid w:val="00D16590"/>
    <w:rsid w:val="00D20720"/>
    <w:rsid w:val="00D232D9"/>
    <w:rsid w:val="00D250D9"/>
    <w:rsid w:val="00D27533"/>
    <w:rsid w:val="00D31C91"/>
    <w:rsid w:val="00D362EF"/>
    <w:rsid w:val="00D37CE9"/>
    <w:rsid w:val="00D40F9E"/>
    <w:rsid w:val="00D42DA3"/>
    <w:rsid w:val="00D4546D"/>
    <w:rsid w:val="00D47996"/>
    <w:rsid w:val="00D50C35"/>
    <w:rsid w:val="00D61118"/>
    <w:rsid w:val="00D614F1"/>
    <w:rsid w:val="00D70D50"/>
    <w:rsid w:val="00D71917"/>
    <w:rsid w:val="00D85F69"/>
    <w:rsid w:val="00D95E68"/>
    <w:rsid w:val="00DA3A0F"/>
    <w:rsid w:val="00DA4082"/>
    <w:rsid w:val="00DA4E62"/>
    <w:rsid w:val="00DA6990"/>
    <w:rsid w:val="00DB27BA"/>
    <w:rsid w:val="00DB3009"/>
    <w:rsid w:val="00DB337A"/>
    <w:rsid w:val="00DB70CE"/>
    <w:rsid w:val="00DC034A"/>
    <w:rsid w:val="00DC3A07"/>
    <w:rsid w:val="00DC51CB"/>
    <w:rsid w:val="00DD3EA5"/>
    <w:rsid w:val="00DD4819"/>
    <w:rsid w:val="00DD4B8A"/>
    <w:rsid w:val="00DD5403"/>
    <w:rsid w:val="00DE0615"/>
    <w:rsid w:val="00DE1388"/>
    <w:rsid w:val="00DE7501"/>
    <w:rsid w:val="00DF3146"/>
    <w:rsid w:val="00DF54D0"/>
    <w:rsid w:val="00DF57C3"/>
    <w:rsid w:val="00E008D9"/>
    <w:rsid w:val="00E01608"/>
    <w:rsid w:val="00E02FE0"/>
    <w:rsid w:val="00E07ABE"/>
    <w:rsid w:val="00E11A3F"/>
    <w:rsid w:val="00E1386E"/>
    <w:rsid w:val="00E2369B"/>
    <w:rsid w:val="00E23EC0"/>
    <w:rsid w:val="00E354AA"/>
    <w:rsid w:val="00E43D54"/>
    <w:rsid w:val="00E442FB"/>
    <w:rsid w:val="00E529DB"/>
    <w:rsid w:val="00E53A5E"/>
    <w:rsid w:val="00E6466A"/>
    <w:rsid w:val="00E72221"/>
    <w:rsid w:val="00E72A92"/>
    <w:rsid w:val="00E8053A"/>
    <w:rsid w:val="00E81B96"/>
    <w:rsid w:val="00E83428"/>
    <w:rsid w:val="00E84C58"/>
    <w:rsid w:val="00E85838"/>
    <w:rsid w:val="00E873A5"/>
    <w:rsid w:val="00E87CC3"/>
    <w:rsid w:val="00E90D11"/>
    <w:rsid w:val="00E915E5"/>
    <w:rsid w:val="00EB0367"/>
    <w:rsid w:val="00EB4FB9"/>
    <w:rsid w:val="00EB5BC8"/>
    <w:rsid w:val="00EB6AF7"/>
    <w:rsid w:val="00EC2738"/>
    <w:rsid w:val="00EC60F3"/>
    <w:rsid w:val="00ED2102"/>
    <w:rsid w:val="00ED760F"/>
    <w:rsid w:val="00ED7B42"/>
    <w:rsid w:val="00EE3EA5"/>
    <w:rsid w:val="00EE56A4"/>
    <w:rsid w:val="00EE613F"/>
    <w:rsid w:val="00EE6BD1"/>
    <w:rsid w:val="00EE7C21"/>
    <w:rsid w:val="00EF0262"/>
    <w:rsid w:val="00EF0828"/>
    <w:rsid w:val="00EF6F8B"/>
    <w:rsid w:val="00F03898"/>
    <w:rsid w:val="00F03D91"/>
    <w:rsid w:val="00F1527A"/>
    <w:rsid w:val="00F240C4"/>
    <w:rsid w:val="00F2685E"/>
    <w:rsid w:val="00F2696B"/>
    <w:rsid w:val="00F27821"/>
    <w:rsid w:val="00F4092A"/>
    <w:rsid w:val="00F41B47"/>
    <w:rsid w:val="00F41C3D"/>
    <w:rsid w:val="00F41F69"/>
    <w:rsid w:val="00F43E41"/>
    <w:rsid w:val="00F45C2D"/>
    <w:rsid w:val="00F4790C"/>
    <w:rsid w:val="00F50C4B"/>
    <w:rsid w:val="00F54C08"/>
    <w:rsid w:val="00F553A2"/>
    <w:rsid w:val="00F603FF"/>
    <w:rsid w:val="00F6068C"/>
    <w:rsid w:val="00F62F33"/>
    <w:rsid w:val="00F634C1"/>
    <w:rsid w:val="00F63A52"/>
    <w:rsid w:val="00F705F1"/>
    <w:rsid w:val="00F730BA"/>
    <w:rsid w:val="00F75FE2"/>
    <w:rsid w:val="00F77778"/>
    <w:rsid w:val="00F84C00"/>
    <w:rsid w:val="00F87CCE"/>
    <w:rsid w:val="00F903BE"/>
    <w:rsid w:val="00F91647"/>
    <w:rsid w:val="00F92588"/>
    <w:rsid w:val="00F95D04"/>
    <w:rsid w:val="00FA006E"/>
    <w:rsid w:val="00FA16EC"/>
    <w:rsid w:val="00FA2811"/>
    <w:rsid w:val="00FA4837"/>
    <w:rsid w:val="00FB1D33"/>
    <w:rsid w:val="00FB2C45"/>
    <w:rsid w:val="00FB5E96"/>
    <w:rsid w:val="00FC05A0"/>
    <w:rsid w:val="00FC21F5"/>
    <w:rsid w:val="00FC6758"/>
    <w:rsid w:val="00FD34EA"/>
    <w:rsid w:val="00FD575B"/>
    <w:rsid w:val="00FE3F3E"/>
    <w:rsid w:val="00FE4D52"/>
    <w:rsid w:val="00FE521A"/>
    <w:rsid w:val="00FE5AEE"/>
    <w:rsid w:val="00FF106B"/>
    <w:rsid w:val="059CAA5B"/>
    <w:rsid w:val="08C5F3BE"/>
    <w:rsid w:val="15EB50BA"/>
    <w:rsid w:val="21C28C6B"/>
    <w:rsid w:val="249FCFC3"/>
    <w:rsid w:val="3EE5225B"/>
    <w:rsid w:val="57511CC9"/>
    <w:rsid w:val="5D8F8430"/>
    <w:rsid w:val="60B9B224"/>
    <w:rsid w:val="66D4E36E"/>
    <w:rsid w:val="745D36A9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6FED517C-0118-4D95-88AE-3D8A35792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uiPriority w:val="99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customStyle="1" w:styleId="CommentTextChar">
    <w:name w:val="Comment Text Char"/>
    <w:basedOn w:val="DefaultParagraphFont"/>
    <w:link w:val="CommentText"/>
    <w:semiHidden/>
    <w:rsid w:val="003276BF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1E78E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7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78E1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C97D99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949CDB-81E8-4009-B751-EA37AD341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http://schemas.openxmlformats.org/package/2006/metadata/core-properties"/>
    <ds:schemaRef ds:uri="f5eefb00-5952-4f7e-8cf8-96f81cfadd01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aba01ddc-ae9a-4c9e-819c-7140b4239cde"/>
    <ds:schemaRef ds:uri="http://schemas.microsoft.com/office/infopath/2007/PartnerControls"/>
    <ds:schemaRef ds:uri="http://schemas.microsoft.com/sharepoint/v3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4662</Characters>
  <Application>Microsoft Office Word</Application>
  <DocSecurity>10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Apolipoprotein CIII Small Interfering RNA (siRNA) Inhibitors PDL Edit</vt:lpstr>
    </vt:vector>
  </TitlesOfParts>
  <Company>DSS</Company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Apolipoprotein CIII Small Interfering RNA (siRNA) Inhibitors PDL Edit</dc:title>
  <dc:subject/>
  <dc:creator>DMS</dc:creator>
  <cp:keywords/>
  <cp:lastModifiedBy>Herzing, Jamie</cp:lastModifiedBy>
  <cp:revision>152</cp:revision>
  <cp:lastPrinted>2018-10-31T21:17:00Z</cp:lastPrinted>
  <dcterms:created xsi:type="dcterms:W3CDTF">2026-01-12T05:00:00Z</dcterms:created>
  <dcterms:modified xsi:type="dcterms:W3CDTF">2026-10-09T20:41:00Z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0ef5309d103e6639e8063396631109c0302e020774fbd940742963ef36e58ea7</vt:lpwstr>
  </property>
</Properties>
</file>