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352D603" w:rsidR="004C5767" w:rsidRPr="00B550C2" w:rsidRDefault="004C5767" w:rsidP="2F61780E">
      <w:pPr>
        <w:pStyle w:val="tbody"/>
        <w:rPr>
          <w:b w:val="0"/>
        </w:rPr>
      </w:pPr>
      <w:r>
        <w:t>Drug/Drug Class:</w:t>
      </w:r>
      <w:r w:rsidR="003B4820">
        <w:t xml:space="preserve"> </w:t>
      </w:r>
      <w:proofErr w:type="spellStart"/>
      <w:r w:rsidR="00B550C2">
        <w:rPr>
          <w:b w:val="0"/>
        </w:rPr>
        <w:t>Antihyperuricemic</w:t>
      </w:r>
      <w:proofErr w:type="spellEnd"/>
      <w:r w:rsidR="00B550C2">
        <w:rPr>
          <w:b w:val="0"/>
        </w:rPr>
        <w:t xml:space="preserve"> Agents PDL Edit</w:t>
      </w:r>
    </w:p>
    <w:p w14:paraId="7AD7FFCE" w14:textId="3DBC66EE" w:rsidR="004C5767" w:rsidRPr="00C02553" w:rsidRDefault="004C5767" w:rsidP="00D27533">
      <w:pPr>
        <w:pStyle w:val="tbody"/>
      </w:pPr>
      <w:r w:rsidRPr="00C02553">
        <w:t xml:space="preserve">First Implementation Date: </w:t>
      </w:r>
      <w:r w:rsidR="00E70C77" w:rsidRPr="00E70C77">
        <w:rPr>
          <w:b w:val="0"/>
          <w:bCs/>
        </w:rPr>
        <w:t>June 21, 2011</w:t>
      </w:r>
    </w:p>
    <w:p w14:paraId="4B7D760D" w14:textId="100B1A09" w:rsidR="004C5767" w:rsidRPr="00ED4049" w:rsidRDefault="00B8210D" w:rsidP="00D27533">
      <w:pPr>
        <w:pStyle w:val="tbody"/>
        <w:rPr>
          <w:b w:val="0"/>
          <w:bCs/>
        </w:rPr>
      </w:pPr>
      <w:r>
        <w:t>Propo</w:t>
      </w:r>
      <w:r w:rsidR="001C7914">
        <w:t>sed</w:t>
      </w:r>
      <w:r w:rsidR="004C5767" w:rsidRPr="00C02553">
        <w:t xml:space="preserve"> Date:</w:t>
      </w:r>
      <w:r w:rsidR="00065C22">
        <w:t xml:space="preserve"> </w:t>
      </w:r>
      <w:r>
        <w:rPr>
          <w:b w:val="0"/>
          <w:bCs/>
        </w:rPr>
        <w:t>October 20</w:t>
      </w:r>
      <w:r w:rsidR="00ED404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D16F5EE" w:rsidR="004C5767" w:rsidRPr="00D27533" w:rsidRDefault="004C5767" w:rsidP="00D27533">
      <w:pPr>
        <w:pStyle w:val="tbody"/>
        <w:rPr>
          <w:b w:val="0"/>
          <w:bCs/>
          <w:spacing w:val="-3"/>
        </w:rPr>
      </w:pPr>
      <w:r w:rsidRPr="00C02553">
        <w:t xml:space="preserve">Criteria Status: </w:t>
      </w:r>
      <w:r w:rsidR="00566BE4">
        <w:rPr>
          <w:b w:val="0"/>
          <w:bCs/>
          <w:spacing w:val="-3"/>
        </w:rPr>
        <w:t>Existing Criteri</w:t>
      </w:r>
      <w:r w:rsidR="00E70C77">
        <w:rPr>
          <w:b w:val="0"/>
          <w:bCs/>
          <w:spacing w:val="-3"/>
        </w:rPr>
        <w:t>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EF35FB3" w14:textId="77777777" w:rsidR="00AF4B53" w:rsidRPr="00ED599D" w:rsidRDefault="00AF4B53" w:rsidP="00AF4B53">
      <w:pPr>
        <w:rPr>
          <w:rFonts w:cs="Arial"/>
          <w:spacing w:val="-3"/>
          <w:szCs w:val="20"/>
        </w:rPr>
      </w:pPr>
      <w:r w:rsidRPr="00D90557">
        <w:rPr>
          <w:rFonts w:cs="Arial"/>
          <w:spacing w:val="-3"/>
          <w:szCs w:val="20"/>
        </w:rPr>
        <w:t>Hyperuricemia, defined as serum uric acid greater than 6.8</w:t>
      </w:r>
      <w:r>
        <w:rPr>
          <w:rFonts w:cs="Arial"/>
          <w:spacing w:val="-3"/>
          <w:szCs w:val="20"/>
        </w:rPr>
        <w:t xml:space="preserve"> </w:t>
      </w:r>
      <w:r w:rsidRPr="00D90557">
        <w:rPr>
          <w:rFonts w:cs="Arial"/>
          <w:spacing w:val="-3"/>
          <w:szCs w:val="20"/>
        </w:rPr>
        <w:t xml:space="preserve">mg/dL, can occur either due to an overproduction of uric acid, an under excretion of uric acid, or a combination of the two mechanisms. Most often, hyperuricemia results </w:t>
      </w:r>
      <w:proofErr w:type="gramStart"/>
      <w:r w:rsidRPr="00D90557">
        <w:rPr>
          <w:rFonts w:cs="Arial"/>
          <w:spacing w:val="-3"/>
          <w:szCs w:val="20"/>
        </w:rPr>
        <w:t>as</w:t>
      </w:r>
      <w:proofErr w:type="gramEnd"/>
      <w:r w:rsidRPr="00D90557">
        <w:rPr>
          <w:rFonts w:cs="Arial"/>
          <w:spacing w:val="-3"/>
          <w:szCs w:val="20"/>
        </w:rPr>
        <w:t xml:space="preserve"> a reduction in fractional clearance of urate rather than an over production of urate, occurring as a result of primary hyperuricemia and secondary hyperuricemia. Hyperuricemia is the most important risk factor for developing gout. Gout is the crystal deposition of monosodium urate associated with elevated levels of uric acid. Crystals are deposited in joints, tendons, and surrounding tissues. </w:t>
      </w:r>
      <w:r>
        <w:rPr>
          <w:rFonts w:cs="Arial"/>
          <w:spacing w:val="-3"/>
          <w:szCs w:val="20"/>
        </w:rPr>
        <w:t xml:space="preserve">Some clinical manifestations of gout may include recurrent flares of inflammatory arthritis (gout flare), chronic arthropathy, accumulation of urate crystals in the form of tophaceous deposits, and uric acid nephrolithiasis. </w:t>
      </w:r>
      <w:r w:rsidRPr="00D90557">
        <w:rPr>
          <w:rFonts w:cs="Arial"/>
          <w:spacing w:val="-3"/>
          <w:szCs w:val="20"/>
        </w:rPr>
        <w:t xml:space="preserve">Acute attacks of gout are painful and over half of all cases involve the metatarsophalangeal joint of the great toe.  Treatment of gout is divided into two phases: acute treatment and chronic prevention.  Acute gouty arthritis can be treated with colchicine, NSAIDs, and corticosteroid injections. Urate-lowering </w:t>
      </w:r>
      <w:r>
        <w:rPr>
          <w:rFonts w:cs="Arial"/>
          <w:spacing w:val="-3"/>
          <w:szCs w:val="20"/>
        </w:rPr>
        <w:t>agents</w:t>
      </w:r>
      <w:r w:rsidRPr="00D90557">
        <w:rPr>
          <w:rFonts w:cs="Arial"/>
          <w:spacing w:val="-3"/>
          <w:szCs w:val="20"/>
        </w:rPr>
        <w:t xml:space="preserve"> are uricosuric drugs or xanthine oxidase inhibitors</w:t>
      </w:r>
      <w:r>
        <w:rPr>
          <w:rFonts w:cs="Arial"/>
          <w:spacing w:val="-3"/>
          <w:szCs w:val="20"/>
        </w:rPr>
        <w:t xml:space="preserve"> have shown results in reduced frequency of progression of gout to the tophaceous stage</w:t>
      </w:r>
      <w:r w:rsidRPr="00D90557">
        <w:rPr>
          <w:rFonts w:cs="Arial"/>
          <w:spacing w:val="-3"/>
          <w:szCs w:val="20"/>
        </w:rPr>
        <w:t xml:space="preserve">. Evidence-based recommendations for the treatment of gout </w:t>
      </w:r>
      <w:r w:rsidRPr="00364D27">
        <w:rPr>
          <w:rFonts w:cs="Arial"/>
          <w:spacing w:val="-3"/>
          <w:szCs w:val="20"/>
        </w:rPr>
        <w:t>add</w:t>
      </w:r>
      <w:r w:rsidRPr="0064488B">
        <w:rPr>
          <w:rFonts w:cs="Arial"/>
          <w:spacing w:val="-3"/>
          <w:szCs w:val="20"/>
        </w:rPr>
        <w:t>ress symptomatic control of acute gout, urate lowering therapy, and prophylaxis of acute attacks.</w:t>
      </w:r>
      <w:r>
        <w:rPr>
          <w:rFonts w:cs="Arial"/>
          <w:spacing w:val="-3"/>
          <w:szCs w:val="20"/>
        </w:rPr>
        <w:t xml:space="preserve"> It is recommended to screen patients who are of Chinese, Thai, Korean or other ethnicities who have an increased frequency of the human leukocyte antigen (HLA)-B*5801 gene as giving them allopurinol is associated with an increased risk of severe cutaneous adverse reaction (SCAR), so it is not recommended. Neither a</w:t>
      </w:r>
      <w:r w:rsidRPr="00ED599D">
        <w:rPr>
          <w:rFonts w:cs="Arial"/>
          <w:spacing w:val="-3"/>
          <w:szCs w:val="20"/>
        </w:rPr>
        <w:t xml:space="preserve">llopurinol </w:t>
      </w:r>
      <w:r>
        <w:rPr>
          <w:rFonts w:cs="Arial"/>
          <w:spacing w:val="-3"/>
          <w:szCs w:val="20"/>
        </w:rPr>
        <w:t>or</w:t>
      </w:r>
      <w:r w:rsidRPr="00ED599D">
        <w:rPr>
          <w:rFonts w:cs="Arial"/>
          <w:spacing w:val="-3"/>
          <w:szCs w:val="20"/>
        </w:rPr>
        <w:t xml:space="preserve"> febuxostat are recommended in patients </w:t>
      </w:r>
      <w:r>
        <w:rPr>
          <w:rFonts w:cs="Arial"/>
          <w:spacing w:val="-3"/>
          <w:szCs w:val="20"/>
        </w:rPr>
        <w:t>concomitantly</w:t>
      </w:r>
      <w:r w:rsidRPr="00ED599D">
        <w:rPr>
          <w:rFonts w:cs="Arial"/>
          <w:spacing w:val="-3"/>
          <w:szCs w:val="20"/>
        </w:rPr>
        <w:t xml:space="preserve"> </w:t>
      </w:r>
      <w:r>
        <w:rPr>
          <w:rFonts w:cs="Arial"/>
          <w:spacing w:val="-3"/>
          <w:szCs w:val="20"/>
        </w:rPr>
        <w:t>receiving</w:t>
      </w:r>
      <w:r w:rsidRPr="00ED599D">
        <w:rPr>
          <w:rFonts w:cs="Arial"/>
          <w:spacing w:val="-3"/>
          <w:szCs w:val="20"/>
        </w:rPr>
        <w:t xml:space="preserve"> azathioprine or 6-mercaptopurine, patients with urolithiasis, </w:t>
      </w:r>
      <w:r>
        <w:rPr>
          <w:rFonts w:cs="Arial"/>
          <w:spacing w:val="-3"/>
          <w:szCs w:val="20"/>
        </w:rPr>
        <w:t>or</w:t>
      </w:r>
      <w:r w:rsidRPr="00ED599D">
        <w:rPr>
          <w:rFonts w:cs="Arial"/>
          <w:spacing w:val="-3"/>
          <w:szCs w:val="20"/>
        </w:rPr>
        <w:t xml:space="preserve"> those who have a risk of uric acid nephropathy.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E5B6641" w14:textId="77777777" w:rsidR="00CF2FDD" w:rsidRPr="00CF2FDD" w:rsidRDefault="00CF2FDD" w:rsidP="00CF2FDD">
      <w:pPr>
        <w:numPr>
          <w:ilvl w:val="0"/>
          <w:numId w:val="16"/>
        </w:numPr>
        <w:contextualSpacing/>
        <w:rPr>
          <w:rFonts w:cs="Arial"/>
          <w:spacing w:val="-3"/>
          <w:szCs w:val="20"/>
        </w:rPr>
      </w:pPr>
      <w:r w:rsidRPr="00CF2FDD">
        <w:rPr>
          <w:rFonts w:cs="Arial"/>
          <w:spacing w:val="-3"/>
          <w:szCs w:val="20"/>
        </w:rPr>
        <w:t>Allopurinol 100 mg, 300 mg tabs</w:t>
      </w:r>
    </w:p>
    <w:p w14:paraId="436EC406" w14:textId="77777777" w:rsidR="00CF2FDD" w:rsidRPr="00CF2FDD" w:rsidRDefault="00CF2FDD" w:rsidP="00CF2FDD">
      <w:pPr>
        <w:numPr>
          <w:ilvl w:val="0"/>
          <w:numId w:val="16"/>
        </w:numPr>
        <w:contextualSpacing/>
        <w:rPr>
          <w:rFonts w:cs="Arial"/>
          <w:spacing w:val="-3"/>
          <w:szCs w:val="20"/>
        </w:rPr>
      </w:pPr>
      <w:r w:rsidRPr="00CF2FDD">
        <w:rPr>
          <w:rFonts w:cs="Arial"/>
          <w:spacing w:val="-3"/>
          <w:szCs w:val="20"/>
        </w:rPr>
        <w:t>Colchicine Tabs</w:t>
      </w:r>
    </w:p>
    <w:p w14:paraId="0B62F020" w14:textId="77777777" w:rsidR="00CF2FDD" w:rsidRPr="00CF2FDD" w:rsidRDefault="00CF2FDD" w:rsidP="00CF2FDD">
      <w:pPr>
        <w:numPr>
          <w:ilvl w:val="0"/>
          <w:numId w:val="16"/>
        </w:numPr>
        <w:contextualSpacing/>
        <w:rPr>
          <w:rFonts w:cs="Arial"/>
          <w:spacing w:val="-3"/>
          <w:szCs w:val="20"/>
        </w:rPr>
      </w:pPr>
      <w:r w:rsidRPr="00CF2FDD">
        <w:rPr>
          <w:rFonts w:cs="Arial"/>
          <w:spacing w:val="-3"/>
          <w:szCs w:val="20"/>
        </w:rPr>
        <w:t>Probenecid</w:t>
      </w:r>
    </w:p>
    <w:p w14:paraId="6DA2BC36" w14:textId="77777777" w:rsidR="00CF2FDD" w:rsidRPr="00CF2FDD" w:rsidRDefault="00CF2FDD" w:rsidP="00CF2FDD">
      <w:pPr>
        <w:numPr>
          <w:ilvl w:val="0"/>
          <w:numId w:val="15"/>
        </w:numPr>
        <w:contextualSpacing/>
        <w:rPr>
          <w:rFonts w:cs="Arial"/>
          <w:spacing w:val="-3"/>
          <w:szCs w:val="20"/>
        </w:rPr>
      </w:pPr>
      <w:r w:rsidRPr="00CF2FDD">
        <w:rPr>
          <w:rFonts w:cs="Arial"/>
          <w:spacing w:val="-3"/>
          <w:szCs w:val="20"/>
        </w:rPr>
        <w:t>Probenecid/Colchicine</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22B40B60" w14:textId="77777777" w:rsidR="00122E53" w:rsidRPr="00E92FC3" w:rsidRDefault="00122E53" w:rsidP="00122E53">
      <w:pPr>
        <w:numPr>
          <w:ilvl w:val="0"/>
          <w:numId w:val="17"/>
        </w:numPr>
        <w:contextualSpacing/>
        <w:rPr>
          <w:rFonts w:cs="Arial"/>
          <w:spacing w:val="-3"/>
          <w:szCs w:val="20"/>
        </w:rPr>
      </w:pPr>
      <w:r w:rsidRPr="00E92FC3">
        <w:rPr>
          <w:rFonts w:cs="Arial"/>
          <w:spacing w:val="-3"/>
          <w:szCs w:val="20"/>
        </w:rPr>
        <w:t>Allopurinol 200 mg tabs</w:t>
      </w:r>
    </w:p>
    <w:p w14:paraId="70252BAD" w14:textId="77777777" w:rsidR="00122E53" w:rsidRPr="00315ED4" w:rsidRDefault="00122E53" w:rsidP="00122E53">
      <w:pPr>
        <w:numPr>
          <w:ilvl w:val="0"/>
          <w:numId w:val="17"/>
        </w:numPr>
        <w:contextualSpacing/>
        <w:rPr>
          <w:rFonts w:cs="Arial"/>
          <w:spacing w:val="-3"/>
          <w:szCs w:val="20"/>
        </w:rPr>
      </w:pPr>
      <w:r w:rsidRPr="00315ED4">
        <w:rPr>
          <w:rFonts w:cs="Arial"/>
          <w:spacing w:val="-3"/>
          <w:szCs w:val="20"/>
        </w:rPr>
        <w:t>Colchicine Caps</w:t>
      </w:r>
    </w:p>
    <w:p w14:paraId="5D0988D4" w14:textId="4CA3859F" w:rsidR="00122E53" w:rsidRPr="00315ED4" w:rsidRDefault="00122E53" w:rsidP="00122E53">
      <w:pPr>
        <w:numPr>
          <w:ilvl w:val="0"/>
          <w:numId w:val="17"/>
        </w:numPr>
        <w:contextualSpacing/>
        <w:rPr>
          <w:rFonts w:cs="Arial"/>
          <w:spacing w:val="-3"/>
          <w:szCs w:val="20"/>
        </w:rPr>
      </w:pPr>
      <w:r w:rsidRPr="00315ED4">
        <w:rPr>
          <w:rFonts w:cs="Arial"/>
          <w:spacing w:val="-3"/>
          <w:szCs w:val="20"/>
        </w:rPr>
        <w:t>Colcrys</w:t>
      </w:r>
    </w:p>
    <w:p w14:paraId="51D305F4" w14:textId="77777777" w:rsidR="00122E53" w:rsidRPr="00315ED4" w:rsidRDefault="00122E53" w:rsidP="00122E53">
      <w:pPr>
        <w:numPr>
          <w:ilvl w:val="0"/>
          <w:numId w:val="17"/>
        </w:numPr>
        <w:contextualSpacing/>
        <w:rPr>
          <w:rFonts w:cs="Arial"/>
          <w:bCs/>
          <w:spacing w:val="-3"/>
          <w:szCs w:val="20"/>
        </w:rPr>
      </w:pPr>
      <w:r w:rsidRPr="00315ED4">
        <w:rPr>
          <w:rFonts w:cs="Arial"/>
          <w:bCs/>
          <w:spacing w:val="-3"/>
          <w:szCs w:val="20"/>
        </w:rPr>
        <w:t>Febuxostat</w:t>
      </w:r>
    </w:p>
    <w:p w14:paraId="279852C9" w14:textId="7AA2A511" w:rsidR="00122E53" w:rsidRPr="0012651A" w:rsidRDefault="00122E53" w:rsidP="00122E53">
      <w:pPr>
        <w:numPr>
          <w:ilvl w:val="0"/>
          <w:numId w:val="17"/>
        </w:numPr>
        <w:contextualSpacing/>
        <w:rPr>
          <w:rFonts w:cs="Arial"/>
          <w:bCs/>
          <w:spacing w:val="-3"/>
          <w:szCs w:val="20"/>
        </w:rPr>
      </w:pPr>
      <w:r w:rsidRPr="00315ED4">
        <w:rPr>
          <w:rFonts w:cs="Arial"/>
          <w:bCs/>
          <w:spacing w:val="-3"/>
          <w:szCs w:val="20"/>
        </w:rPr>
        <w:t>Gloperba</w:t>
      </w:r>
    </w:p>
    <w:p w14:paraId="19ACA723" w14:textId="7C5F99F7" w:rsidR="00122E53" w:rsidRPr="002B72EF" w:rsidRDefault="00122E53" w:rsidP="00122E53">
      <w:pPr>
        <w:numPr>
          <w:ilvl w:val="0"/>
          <w:numId w:val="17"/>
        </w:numPr>
        <w:contextualSpacing/>
        <w:rPr>
          <w:rFonts w:cs="Arial"/>
          <w:bCs/>
          <w:spacing w:val="-3"/>
          <w:szCs w:val="20"/>
        </w:rPr>
      </w:pPr>
      <w:r w:rsidRPr="002B72EF">
        <w:rPr>
          <w:rFonts w:cs="Arial"/>
          <w:bCs/>
          <w:spacing w:val="-3"/>
          <w:szCs w:val="20"/>
        </w:rPr>
        <w:lastRenderedPageBreak/>
        <w:t>Lodoco</w:t>
      </w:r>
    </w:p>
    <w:p w14:paraId="0F94B373" w14:textId="5D756990" w:rsidR="00122E53" w:rsidRPr="00315ED4" w:rsidRDefault="00122E53" w:rsidP="00122E53">
      <w:pPr>
        <w:numPr>
          <w:ilvl w:val="0"/>
          <w:numId w:val="17"/>
        </w:numPr>
        <w:contextualSpacing/>
        <w:rPr>
          <w:rFonts w:cs="Arial"/>
          <w:spacing w:val="-3"/>
          <w:szCs w:val="20"/>
        </w:rPr>
      </w:pPr>
      <w:r w:rsidRPr="00315ED4">
        <w:rPr>
          <w:rFonts w:cs="Arial"/>
          <w:spacing w:val="-3"/>
          <w:szCs w:val="20"/>
        </w:rPr>
        <w:t>Mitigare</w:t>
      </w:r>
    </w:p>
    <w:p w14:paraId="3A9F3D96" w14:textId="46F428F3" w:rsidR="00122E53" w:rsidRPr="00122E53" w:rsidRDefault="00122E53" w:rsidP="002C7C80">
      <w:pPr>
        <w:numPr>
          <w:ilvl w:val="0"/>
          <w:numId w:val="17"/>
        </w:numPr>
        <w:contextualSpacing/>
        <w:rPr>
          <w:rFonts w:cs="Arial"/>
          <w:spacing w:val="-3"/>
          <w:szCs w:val="20"/>
        </w:rPr>
      </w:pPr>
      <w:r w:rsidRPr="00122E53">
        <w:rPr>
          <w:rFonts w:cs="Arial"/>
          <w:spacing w:val="-3"/>
          <w:szCs w:val="20"/>
        </w:rPr>
        <w:t>Uloric</w:t>
      </w:r>
    </w:p>
    <w:p w14:paraId="6D696800" w14:textId="35B0492E" w:rsidR="00E23EC0" w:rsidRPr="003D1BB7" w:rsidRDefault="00122E53" w:rsidP="002C7C80">
      <w:pPr>
        <w:numPr>
          <w:ilvl w:val="0"/>
          <w:numId w:val="17"/>
        </w:numPr>
        <w:contextualSpacing/>
        <w:rPr>
          <w:rFonts w:cs="Arial"/>
          <w:spacing w:val="-3"/>
          <w:szCs w:val="20"/>
        </w:rPr>
      </w:pPr>
      <w:r w:rsidRPr="00122E53">
        <w:rPr>
          <w:rFonts w:cs="Arial"/>
          <w:spacing w:val="-3"/>
        </w:rPr>
        <w:t>Zyloprim</w:t>
      </w:r>
    </w:p>
    <w:p w14:paraId="1D433EBF" w14:textId="77777777" w:rsidR="00551454" w:rsidRPr="00122E53" w:rsidRDefault="00551454" w:rsidP="003D1BB7">
      <w:pPr>
        <w:ind w:left="360"/>
        <w:contextualSpacing/>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D3886E3" w:rsidR="0097028A" w:rsidRPr="0079438F" w:rsidRDefault="0097028A" w:rsidP="00696E3A">
      <w:pPr>
        <w:rPr>
          <w:b/>
        </w:rPr>
      </w:pPr>
      <w:r w:rsidRPr="00696E3A">
        <w:rPr>
          <w:b/>
          <w:bCs/>
        </w:rPr>
        <w:t>Drug class for review:</w:t>
      </w:r>
      <w:r w:rsidRPr="00C02553">
        <w:t xml:space="preserve"> </w:t>
      </w:r>
      <w:r w:rsidR="002B34CE" w:rsidRPr="002B34CE">
        <w:t>Antihyperuricemic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71AD8F4" w14:textId="77777777" w:rsidR="00B644DC" w:rsidRDefault="00B644DC" w:rsidP="00B644DC">
      <w:pPr>
        <w:pStyle w:val="ListParagraph"/>
        <w:numPr>
          <w:ilvl w:val="0"/>
          <w:numId w:val="18"/>
        </w:numPr>
        <w:rPr>
          <w:rFonts w:cs="Arial"/>
          <w:szCs w:val="20"/>
        </w:rPr>
      </w:pPr>
      <w:r>
        <w:rPr>
          <w:rFonts w:cs="Arial"/>
          <w:szCs w:val="20"/>
        </w:rPr>
        <w:t>Must meet one of the following:</w:t>
      </w:r>
    </w:p>
    <w:p w14:paraId="4C01C435" w14:textId="77777777" w:rsidR="00B644DC" w:rsidRPr="005B16C3" w:rsidRDefault="00B644DC" w:rsidP="00B644DC">
      <w:pPr>
        <w:pStyle w:val="ListParagraph"/>
        <w:numPr>
          <w:ilvl w:val="1"/>
          <w:numId w:val="18"/>
        </w:numPr>
        <w:rPr>
          <w:rFonts w:cs="Arial"/>
          <w:szCs w:val="20"/>
        </w:rPr>
      </w:pPr>
      <w:r>
        <w:rPr>
          <w:rFonts w:cs="Arial"/>
          <w:szCs w:val="20"/>
        </w:rPr>
        <w:t xml:space="preserve">Claim is for a preferred agent; </w:t>
      </w:r>
      <w:r w:rsidRPr="005B16C3">
        <w:rPr>
          <w:rFonts w:cs="Arial"/>
          <w:b/>
          <w:bCs/>
          <w:szCs w:val="20"/>
        </w:rPr>
        <w:t>OR</w:t>
      </w:r>
    </w:p>
    <w:p w14:paraId="7AD10E9A" w14:textId="77777777" w:rsidR="00B644DC" w:rsidRPr="00C1018C" w:rsidRDefault="00B644DC" w:rsidP="00B644DC">
      <w:pPr>
        <w:numPr>
          <w:ilvl w:val="1"/>
          <w:numId w:val="18"/>
        </w:numPr>
        <w:rPr>
          <w:rFonts w:cs="Arial"/>
          <w:szCs w:val="20"/>
        </w:rPr>
      </w:pPr>
      <w:r w:rsidRPr="00C1018C">
        <w:rPr>
          <w:rFonts w:cs="Arial"/>
          <w:szCs w:val="20"/>
        </w:rPr>
        <w:t>Failure to achieve desired therapeutic outcomes with trial on 1 or more preferred agents</w:t>
      </w:r>
      <w:r>
        <w:rPr>
          <w:rFonts w:cs="Arial"/>
          <w:szCs w:val="20"/>
        </w:rPr>
        <w:t>:</w:t>
      </w:r>
      <w:r w:rsidRPr="00C1018C">
        <w:rPr>
          <w:rFonts w:cs="Arial"/>
          <w:szCs w:val="20"/>
        </w:rPr>
        <w:t xml:space="preserve"> </w:t>
      </w:r>
    </w:p>
    <w:p w14:paraId="412A129F" w14:textId="77777777" w:rsidR="00B644DC" w:rsidRPr="00C1018C" w:rsidRDefault="00B644DC" w:rsidP="00B644DC">
      <w:pPr>
        <w:numPr>
          <w:ilvl w:val="2"/>
          <w:numId w:val="19"/>
        </w:numPr>
        <w:jc w:val="both"/>
        <w:rPr>
          <w:rFonts w:cs="Arial"/>
          <w:szCs w:val="20"/>
        </w:rPr>
      </w:pPr>
      <w:r w:rsidRPr="00C1018C">
        <w:rPr>
          <w:rFonts w:cs="Arial"/>
          <w:szCs w:val="20"/>
        </w:rPr>
        <w:t>Documented trial period of preferred agents</w:t>
      </w:r>
      <w:r>
        <w:rPr>
          <w:rFonts w:cs="Arial"/>
          <w:szCs w:val="20"/>
        </w:rPr>
        <w:t xml:space="preserve">; </w:t>
      </w:r>
      <w:r w:rsidRPr="002D67E6">
        <w:rPr>
          <w:rFonts w:cs="Arial"/>
          <w:b/>
          <w:bCs/>
          <w:szCs w:val="20"/>
        </w:rPr>
        <w:t>OR</w:t>
      </w:r>
    </w:p>
    <w:p w14:paraId="06192E2A" w14:textId="77777777" w:rsidR="00B644DC" w:rsidRDefault="00B644DC" w:rsidP="00B644DC">
      <w:pPr>
        <w:numPr>
          <w:ilvl w:val="2"/>
          <w:numId w:val="19"/>
        </w:numPr>
        <w:jc w:val="both"/>
        <w:rPr>
          <w:rFonts w:cs="Arial"/>
          <w:szCs w:val="20"/>
        </w:rPr>
      </w:pPr>
      <w:r w:rsidRPr="00C1018C">
        <w:rPr>
          <w:rFonts w:cs="Arial"/>
          <w:szCs w:val="20"/>
        </w:rPr>
        <w:t>Documen</w:t>
      </w:r>
      <w:r>
        <w:rPr>
          <w:rFonts w:cs="Arial"/>
          <w:szCs w:val="20"/>
        </w:rPr>
        <w:t>ted ADE/ADR to preferred agents.</w:t>
      </w:r>
    </w:p>
    <w:p w14:paraId="0F0CB0EA" w14:textId="77777777" w:rsidR="00B644DC" w:rsidRDefault="00B644DC" w:rsidP="00B644DC">
      <w:pPr>
        <w:numPr>
          <w:ilvl w:val="0"/>
          <w:numId w:val="18"/>
        </w:numPr>
        <w:jc w:val="both"/>
        <w:rPr>
          <w:rFonts w:cs="Arial"/>
          <w:szCs w:val="20"/>
        </w:rPr>
      </w:pPr>
      <w:r>
        <w:rPr>
          <w:rFonts w:cs="Arial"/>
          <w:szCs w:val="20"/>
        </w:rPr>
        <w:t>Additional approval criteria for Uloric:</w:t>
      </w:r>
    </w:p>
    <w:p w14:paraId="74EBC890" w14:textId="77777777" w:rsidR="00B644DC" w:rsidRDefault="00B644DC" w:rsidP="00B644DC">
      <w:pPr>
        <w:numPr>
          <w:ilvl w:val="1"/>
          <w:numId w:val="18"/>
        </w:numPr>
        <w:jc w:val="both"/>
        <w:rPr>
          <w:rFonts w:cs="Arial"/>
          <w:szCs w:val="20"/>
        </w:rPr>
      </w:pPr>
      <w:r>
        <w:rPr>
          <w:rFonts w:cs="Arial"/>
          <w:szCs w:val="20"/>
        </w:rPr>
        <w:t>Adequate therapeutic trial of allopurinol defined as 60 days of therapy in the last 90 days.</w:t>
      </w:r>
    </w:p>
    <w:p w14:paraId="147A2810" w14:textId="77777777" w:rsidR="00B644DC" w:rsidRDefault="00B644DC" w:rsidP="00B644DC">
      <w:pPr>
        <w:numPr>
          <w:ilvl w:val="0"/>
          <w:numId w:val="18"/>
        </w:numPr>
        <w:jc w:val="both"/>
        <w:rPr>
          <w:rFonts w:cs="Arial"/>
          <w:szCs w:val="20"/>
        </w:rPr>
      </w:pPr>
      <w:r>
        <w:rPr>
          <w:rFonts w:cs="Arial"/>
          <w:szCs w:val="20"/>
        </w:rPr>
        <w:t>Additional approval criteria for allopurinol 200 mg tablets:</w:t>
      </w:r>
    </w:p>
    <w:p w14:paraId="2D5FA915" w14:textId="77777777" w:rsidR="00B644DC" w:rsidRDefault="00B644DC" w:rsidP="00B644DC">
      <w:pPr>
        <w:numPr>
          <w:ilvl w:val="1"/>
          <w:numId w:val="18"/>
        </w:numPr>
        <w:jc w:val="both"/>
        <w:rPr>
          <w:rFonts w:cs="Arial"/>
          <w:szCs w:val="20"/>
        </w:rPr>
      </w:pPr>
      <w:r>
        <w:rPr>
          <w:rFonts w:cs="Arial"/>
          <w:szCs w:val="20"/>
        </w:rPr>
        <w:t xml:space="preserve">Must provide reason </w:t>
      </w:r>
      <w:proofErr w:type="gramStart"/>
      <w:r>
        <w:rPr>
          <w:rFonts w:cs="Arial"/>
          <w:szCs w:val="20"/>
        </w:rPr>
        <w:t>of</w:t>
      </w:r>
      <w:proofErr w:type="gramEnd"/>
      <w:r>
        <w:rPr>
          <w:rFonts w:cs="Arial"/>
          <w:szCs w:val="20"/>
        </w:rPr>
        <w:t xml:space="preserve"> medical necessity why participant cannot utilize two allopurinol 100 mg tablets.</w:t>
      </w:r>
    </w:p>
    <w:p w14:paraId="49E6581B" w14:textId="77777777" w:rsidR="00B644DC" w:rsidRPr="00B8210D" w:rsidRDefault="00B644DC" w:rsidP="00B644DC">
      <w:pPr>
        <w:numPr>
          <w:ilvl w:val="0"/>
          <w:numId w:val="18"/>
        </w:numPr>
        <w:jc w:val="both"/>
        <w:rPr>
          <w:rFonts w:cs="Arial"/>
          <w:szCs w:val="20"/>
        </w:rPr>
      </w:pPr>
      <w:r w:rsidRPr="00B8210D">
        <w:rPr>
          <w:rFonts w:cs="Arial"/>
          <w:szCs w:val="20"/>
        </w:rPr>
        <w:t>Additional approval criteria for Lodoco 0.5 mg tablets:</w:t>
      </w:r>
    </w:p>
    <w:p w14:paraId="24CED69B" w14:textId="77777777" w:rsidR="00B644DC" w:rsidRPr="00B8210D" w:rsidRDefault="00B644DC" w:rsidP="00B644DC">
      <w:pPr>
        <w:numPr>
          <w:ilvl w:val="1"/>
          <w:numId w:val="18"/>
        </w:numPr>
        <w:jc w:val="both"/>
        <w:rPr>
          <w:rFonts w:cs="Arial"/>
          <w:szCs w:val="20"/>
        </w:rPr>
      </w:pPr>
      <w:r w:rsidRPr="00B8210D">
        <w:rPr>
          <w:rFonts w:cs="Arial"/>
          <w:szCs w:val="20"/>
        </w:rPr>
        <w:t xml:space="preserve">Must provide reason </w:t>
      </w:r>
      <w:proofErr w:type="gramStart"/>
      <w:r w:rsidRPr="00B8210D">
        <w:rPr>
          <w:rFonts w:cs="Arial"/>
          <w:szCs w:val="20"/>
        </w:rPr>
        <w:t>of</w:t>
      </w:r>
      <w:proofErr w:type="gramEnd"/>
      <w:r w:rsidRPr="00B8210D">
        <w:rPr>
          <w:rFonts w:cs="Arial"/>
          <w:szCs w:val="20"/>
        </w:rPr>
        <w:t xml:space="preserve"> medical necessity why participant cannot utilize generic colchicine 0.6 mg tablets.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0169DC52" w14:textId="77777777" w:rsidR="0075162C" w:rsidRDefault="0075162C" w:rsidP="0075162C">
      <w:pPr>
        <w:pStyle w:val="ListParagraph"/>
        <w:numPr>
          <w:ilvl w:val="0"/>
          <w:numId w:val="20"/>
        </w:numPr>
        <w:rPr>
          <w:rFonts w:cs="Arial"/>
          <w:noProof/>
          <w:szCs w:val="20"/>
        </w:rPr>
      </w:pPr>
      <w:r>
        <w:rPr>
          <w:rFonts w:cs="Arial"/>
          <w:noProof/>
          <w:szCs w:val="20"/>
        </w:rPr>
        <w:t>Therapy will deny with presence of one of the following:</w:t>
      </w:r>
    </w:p>
    <w:p w14:paraId="5535D3FC" w14:textId="77777777" w:rsidR="0075162C" w:rsidRPr="005A046D" w:rsidRDefault="0075162C" w:rsidP="0075162C">
      <w:pPr>
        <w:pStyle w:val="ListParagraph"/>
        <w:numPr>
          <w:ilvl w:val="1"/>
          <w:numId w:val="20"/>
        </w:numPr>
        <w:rPr>
          <w:rFonts w:cs="Arial"/>
          <w:b/>
          <w:bCs/>
          <w:noProof/>
          <w:szCs w:val="20"/>
        </w:rPr>
      </w:pPr>
      <w:r>
        <w:rPr>
          <w:rFonts w:cs="Arial"/>
          <w:noProof/>
          <w:szCs w:val="20"/>
        </w:rPr>
        <w:t xml:space="preserve">Any approval criteria are not met; </w:t>
      </w:r>
      <w:r w:rsidRPr="005A046D">
        <w:rPr>
          <w:rFonts w:cs="Arial"/>
          <w:b/>
          <w:bCs/>
          <w:noProof/>
          <w:szCs w:val="20"/>
        </w:rPr>
        <w:t>OR</w:t>
      </w:r>
    </w:p>
    <w:p w14:paraId="0D124C1C" w14:textId="77777777" w:rsidR="0075162C" w:rsidRPr="005A046D" w:rsidRDefault="0075162C" w:rsidP="0075162C">
      <w:pPr>
        <w:pStyle w:val="ListParagraph"/>
        <w:numPr>
          <w:ilvl w:val="1"/>
          <w:numId w:val="20"/>
        </w:numPr>
        <w:rPr>
          <w:rFonts w:cs="Arial"/>
          <w:noProof/>
          <w:szCs w:val="20"/>
        </w:rPr>
      </w:pPr>
      <w:r>
        <w:rPr>
          <w:rFonts w:cs="Arial"/>
          <w:noProof/>
          <w:szCs w:val="20"/>
        </w:rPr>
        <w:t>Claim exceeds maximum dosing limitation for the following:</w:t>
      </w:r>
    </w:p>
    <w:tbl>
      <w:tblPr>
        <w:tblStyle w:val="TableGrid"/>
        <w:tblW w:w="0" w:type="auto"/>
        <w:tblInd w:w="715" w:type="dxa"/>
        <w:tblLook w:val="04A0" w:firstRow="1" w:lastRow="0" w:firstColumn="1" w:lastColumn="0" w:noHBand="0" w:noVBand="1"/>
      </w:tblPr>
      <w:tblGrid>
        <w:gridCol w:w="2520"/>
        <w:gridCol w:w="2160"/>
        <w:gridCol w:w="2430"/>
      </w:tblGrid>
      <w:tr w:rsidR="0075162C" w14:paraId="4EF48E8D" w14:textId="77777777" w:rsidTr="00706C9F">
        <w:trPr>
          <w:trHeight w:val="20"/>
        </w:trPr>
        <w:tc>
          <w:tcPr>
            <w:tcW w:w="2520" w:type="dxa"/>
            <w:shd w:val="clear" w:color="auto" w:fill="FABF8F" w:themeFill="accent6" w:themeFillTint="99"/>
          </w:tcPr>
          <w:p w14:paraId="11FE79C9" w14:textId="77777777" w:rsidR="0075162C" w:rsidRPr="00433939" w:rsidRDefault="0075162C" w:rsidP="00706C9F">
            <w:pPr>
              <w:pStyle w:val="ListParagraph"/>
              <w:ind w:left="0"/>
              <w:rPr>
                <w:rFonts w:cs="Arial"/>
                <w:b/>
                <w:noProof/>
                <w:szCs w:val="20"/>
              </w:rPr>
            </w:pPr>
            <w:r w:rsidRPr="00433939">
              <w:rPr>
                <w:rFonts w:cs="Arial"/>
                <w:b/>
                <w:noProof/>
                <w:szCs w:val="20"/>
              </w:rPr>
              <w:t>Drug Description</w:t>
            </w:r>
          </w:p>
        </w:tc>
        <w:tc>
          <w:tcPr>
            <w:tcW w:w="2160" w:type="dxa"/>
            <w:shd w:val="clear" w:color="auto" w:fill="FABF8F" w:themeFill="accent6" w:themeFillTint="99"/>
          </w:tcPr>
          <w:p w14:paraId="6A92BC8E" w14:textId="77777777" w:rsidR="0075162C" w:rsidRPr="00433939" w:rsidRDefault="0075162C" w:rsidP="00706C9F">
            <w:pPr>
              <w:pStyle w:val="ListParagraph"/>
              <w:ind w:left="0"/>
              <w:rPr>
                <w:rFonts w:cs="Arial"/>
                <w:b/>
                <w:noProof/>
                <w:szCs w:val="20"/>
              </w:rPr>
            </w:pPr>
            <w:r w:rsidRPr="00433939">
              <w:rPr>
                <w:rFonts w:cs="Arial"/>
                <w:b/>
                <w:noProof/>
                <w:szCs w:val="20"/>
              </w:rPr>
              <w:t>Generic Equivalent</w:t>
            </w:r>
          </w:p>
        </w:tc>
        <w:tc>
          <w:tcPr>
            <w:tcW w:w="2430" w:type="dxa"/>
            <w:shd w:val="clear" w:color="auto" w:fill="FABF8F" w:themeFill="accent6" w:themeFillTint="99"/>
          </w:tcPr>
          <w:p w14:paraId="1A5877B1" w14:textId="77777777" w:rsidR="0075162C" w:rsidRPr="00433939" w:rsidRDefault="0075162C" w:rsidP="00706C9F">
            <w:pPr>
              <w:pStyle w:val="ListParagraph"/>
              <w:ind w:left="0"/>
              <w:rPr>
                <w:rFonts w:cs="Arial"/>
                <w:b/>
                <w:noProof/>
                <w:szCs w:val="20"/>
              </w:rPr>
            </w:pPr>
            <w:r w:rsidRPr="00433939">
              <w:rPr>
                <w:rFonts w:cs="Arial"/>
                <w:b/>
                <w:noProof/>
                <w:szCs w:val="20"/>
              </w:rPr>
              <w:t>Max Dosing Limitation</w:t>
            </w:r>
          </w:p>
        </w:tc>
      </w:tr>
      <w:tr w:rsidR="0075162C" w14:paraId="7D651D18" w14:textId="77777777" w:rsidTr="00706C9F">
        <w:trPr>
          <w:trHeight w:val="20"/>
        </w:trPr>
        <w:tc>
          <w:tcPr>
            <w:tcW w:w="2520" w:type="dxa"/>
          </w:tcPr>
          <w:p w14:paraId="170D9B7B" w14:textId="77777777" w:rsidR="0075162C" w:rsidRPr="00201811" w:rsidRDefault="0075162C" w:rsidP="00706C9F">
            <w:pPr>
              <w:pStyle w:val="ListParagraph"/>
              <w:tabs>
                <w:tab w:val="left" w:pos="2667"/>
              </w:tabs>
              <w:ind w:left="0"/>
              <w:rPr>
                <w:rFonts w:cs="Arial"/>
                <w:bCs/>
                <w:noProof/>
                <w:szCs w:val="20"/>
              </w:rPr>
            </w:pPr>
            <w:r w:rsidRPr="00201811">
              <w:rPr>
                <w:rFonts w:cs="Arial"/>
                <w:bCs/>
                <w:noProof/>
                <w:szCs w:val="20"/>
              </w:rPr>
              <w:t>ULORIC 40 MG TABLET</w:t>
            </w:r>
          </w:p>
        </w:tc>
        <w:tc>
          <w:tcPr>
            <w:tcW w:w="2160" w:type="dxa"/>
          </w:tcPr>
          <w:p w14:paraId="00127283" w14:textId="77777777" w:rsidR="0075162C" w:rsidRPr="00201811" w:rsidRDefault="0075162C" w:rsidP="00706C9F">
            <w:pPr>
              <w:pStyle w:val="ListParagraph"/>
              <w:ind w:left="0"/>
              <w:rPr>
                <w:rFonts w:cs="Arial"/>
                <w:bCs/>
                <w:noProof/>
                <w:szCs w:val="20"/>
              </w:rPr>
            </w:pPr>
            <w:r w:rsidRPr="00201811">
              <w:rPr>
                <w:rFonts w:cs="Arial"/>
                <w:bCs/>
                <w:noProof/>
                <w:szCs w:val="20"/>
              </w:rPr>
              <w:t>FEBUXOSTAT</w:t>
            </w:r>
          </w:p>
        </w:tc>
        <w:tc>
          <w:tcPr>
            <w:tcW w:w="2430" w:type="dxa"/>
          </w:tcPr>
          <w:p w14:paraId="5EBFC13D" w14:textId="77777777" w:rsidR="0075162C" w:rsidRPr="00201811" w:rsidRDefault="0075162C" w:rsidP="00706C9F">
            <w:pPr>
              <w:pStyle w:val="ListParagraph"/>
              <w:ind w:left="0"/>
              <w:rPr>
                <w:rFonts w:cs="Arial"/>
                <w:bCs/>
                <w:noProof/>
                <w:szCs w:val="20"/>
              </w:rPr>
            </w:pPr>
            <w:r w:rsidRPr="00201811">
              <w:rPr>
                <w:rFonts w:cs="Arial"/>
                <w:bCs/>
                <w:noProof/>
                <w:szCs w:val="20"/>
              </w:rPr>
              <w:t>1 tablet per day</w:t>
            </w:r>
          </w:p>
        </w:tc>
      </w:tr>
      <w:tr w:rsidR="0075162C" w:rsidRPr="00E35CB2" w14:paraId="1F94ECEF" w14:textId="77777777" w:rsidTr="00706C9F">
        <w:trPr>
          <w:trHeight w:val="20"/>
        </w:trPr>
        <w:tc>
          <w:tcPr>
            <w:tcW w:w="2520" w:type="dxa"/>
          </w:tcPr>
          <w:p w14:paraId="2B1A2AB0" w14:textId="77777777" w:rsidR="0075162C" w:rsidRPr="00201811" w:rsidRDefault="0075162C" w:rsidP="00706C9F">
            <w:pPr>
              <w:pStyle w:val="ListParagraph"/>
              <w:tabs>
                <w:tab w:val="left" w:pos="2667"/>
              </w:tabs>
              <w:ind w:left="0"/>
              <w:rPr>
                <w:rFonts w:cs="Arial"/>
                <w:bCs/>
                <w:noProof/>
                <w:szCs w:val="20"/>
              </w:rPr>
            </w:pPr>
            <w:r w:rsidRPr="00201811">
              <w:rPr>
                <w:rFonts w:cs="Arial"/>
                <w:bCs/>
                <w:noProof/>
                <w:szCs w:val="20"/>
              </w:rPr>
              <w:t>ULORIC 80 MG TABLET</w:t>
            </w:r>
          </w:p>
        </w:tc>
        <w:tc>
          <w:tcPr>
            <w:tcW w:w="2160" w:type="dxa"/>
          </w:tcPr>
          <w:p w14:paraId="25E47D47" w14:textId="77777777" w:rsidR="0075162C" w:rsidRPr="00201811" w:rsidRDefault="0075162C" w:rsidP="00706C9F">
            <w:pPr>
              <w:pStyle w:val="ListParagraph"/>
              <w:ind w:left="0"/>
              <w:rPr>
                <w:rFonts w:cs="Arial"/>
                <w:bCs/>
                <w:noProof/>
                <w:szCs w:val="20"/>
              </w:rPr>
            </w:pPr>
            <w:r w:rsidRPr="00201811">
              <w:rPr>
                <w:rFonts w:cs="Arial"/>
                <w:bCs/>
                <w:noProof/>
                <w:szCs w:val="20"/>
              </w:rPr>
              <w:t>FEBUXOSTAT</w:t>
            </w:r>
          </w:p>
        </w:tc>
        <w:tc>
          <w:tcPr>
            <w:tcW w:w="2430" w:type="dxa"/>
          </w:tcPr>
          <w:p w14:paraId="49A6D061" w14:textId="77777777" w:rsidR="0075162C" w:rsidRPr="00201811" w:rsidRDefault="0075162C" w:rsidP="00706C9F">
            <w:pPr>
              <w:pStyle w:val="ListParagraph"/>
              <w:ind w:left="0"/>
              <w:rPr>
                <w:rFonts w:cs="Arial"/>
                <w:bCs/>
                <w:noProof/>
                <w:szCs w:val="20"/>
              </w:rPr>
            </w:pPr>
            <w:r w:rsidRPr="00201811">
              <w:rPr>
                <w:rFonts w:cs="Arial"/>
                <w:bCs/>
                <w:noProof/>
                <w:szCs w:val="20"/>
              </w:rPr>
              <w:t>1 tablet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4DBE334F" w:rsidR="00AE77DB" w:rsidRPr="00C02553" w:rsidRDefault="00AE77DB" w:rsidP="00343D6B">
      <w:pPr>
        <w:pStyle w:val="Heading1"/>
        <w:rPr>
          <w:lang w:val="en-US"/>
        </w:rPr>
      </w:pPr>
      <w:r w:rsidRPr="00C02553">
        <w:rPr>
          <w:lang w:val="en-US"/>
        </w:rPr>
        <w:t>References</w:t>
      </w:r>
    </w:p>
    <w:p w14:paraId="1F98B9E7" w14:textId="636834F5" w:rsidR="00A94B1C" w:rsidRPr="00934A99" w:rsidRDefault="00A94B1C" w:rsidP="00A94B1C">
      <w:pPr>
        <w:pStyle w:val="ListParagraph"/>
        <w:numPr>
          <w:ilvl w:val="0"/>
          <w:numId w:val="20"/>
        </w:numPr>
        <w:rPr>
          <w:rFonts w:cs="Arial"/>
          <w:szCs w:val="20"/>
        </w:rPr>
      </w:pPr>
      <w:r w:rsidRPr="00934A99">
        <w:rPr>
          <w:rFonts w:cs="Arial"/>
          <w:szCs w:val="20"/>
        </w:rPr>
        <w:t xml:space="preserve">Evidence-Based Medicine Analysis: “Antihyperuricemic Agents”, UMKC-DIC; </w:t>
      </w:r>
      <w:r>
        <w:rPr>
          <w:rFonts w:cs="Arial"/>
          <w:szCs w:val="20"/>
        </w:rPr>
        <w:t>June</w:t>
      </w:r>
      <w:r w:rsidRPr="00934A99">
        <w:rPr>
          <w:rFonts w:cs="Arial"/>
          <w:szCs w:val="20"/>
        </w:rPr>
        <w:t xml:space="preserve"> 202</w:t>
      </w:r>
      <w:r w:rsidR="004536F3">
        <w:rPr>
          <w:rFonts w:cs="Arial"/>
          <w:szCs w:val="20"/>
        </w:rPr>
        <w:t>6</w:t>
      </w:r>
      <w:r w:rsidRPr="00934A99">
        <w:rPr>
          <w:rFonts w:cs="Arial"/>
          <w:szCs w:val="20"/>
        </w:rPr>
        <w:t>.</w:t>
      </w:r>
    </w:p>
    <w:p w14:paraId="41208D23" w14:textId="77777777" w:rsidR="00A94B1C" w:rsidRPr="00934A99" w:rsidRDefault="00A94B1C" w:rsidP="00A94B1C">
      <w:pPr>
        <w:numPr>
          <w:ilvl w:val="0"/>
          <w:numId w:val="21"/>
        </w:numPr>
        <w:rPr>
          <w:rFonts w:cs="Arial"/>
          <w:szCs w:val="20"/>
        </w:rPr>
      </w:pPr>
      <w:r w:rsidRPr="00934A99">
        <w:rPr>
          <w:rFonts w:cs="Arial"/>
          <w:szCs w:val="20"/>
        </w:rPr>
        <w:t>Evidence-Based Medicine and Fiscal Analysis: “Antihyperuricemic Agents - Therapeutic Class Review”, Conduent Business Services, L.L.C., Richmond, VA; June 202</w:t>
      </w:r>
      <w:r>
        <w:rPr>
          <w:rFonts w:cs="Arial"/>
          <w:szCs w:val="20"/>
        </w:rPr>
        <w:t>4</w:t>
      </w:r>
      <w:r w:rsidRPr="00934A99">
        <w:rPr>
          <w:rFonts w:cs="Arial"/>
          <w:szCs w:val="20"/>
        </w:rPr>
        <w:t>.</w:t>
      </w:r>
    </w:p>
    <w:p w14:paraId="18D356BA" w14:textId="77777777" w:rsidR="00A94B1C" w:rsidRPr="00934A99" w:rsidRDefault="00A94B1C" w:rsidP="00A94B1C">
      <w:pPr>
        <w:numPr>
          <w:ilvl w:val="0"/>
          <w:numId w:val="21"/>
        </w:numPr>
        <w:rPr>
          <w:rFonts w:cs="Arial"/>
          <w:szCs w:val="20"/>
        </w:rPr>
      </w:pPr>
      <w:r w:rsidRPr="0012651A">
        <w:rPr>
          <w:rFonts w:cs="Arial"/>
          <w:szCs w:val="20"/>
          <w:lang w:val="it-IT"/>
        </w:rPr>
        <w:t xml:space="preserve">Gaffo AL, Dalbeth N, Case SM. </w:t>
      </w:r>
      <w:r w:rsidRPr="00934A99">
        <w:rPr>
          <w:rFonts w:cs="Arial"/>
          <w:szCs w:val="20"/>
        </w:rPr>
        <w:t>Clinical manifestations and diagnosis of gout. UpToDate. UpToDate; 2024. Accessed August 23, 2024</w:t>
      </w:r>
    </w:p>
    <w:p w14:paraId="7EB2DD55" w14:textId="77777777" w:rsidR="00A94B1C" w:rsidRPr="00934A99" w:rsidRDefault="00A94B1C" w:rsidP="00A94B1C">
      <w:pPr>
        <w:numPr>
          <w:ilvl w:val="0"/>
          <w:numId w:val="21"/>
        </w:numPr>
        <w:rPr>
          <w:rFonts w:cs="Arial"/>
          <w:szCs w:val="20"/>
        </w:rPr>
      </w:pPr>
      <w:r w:rsidRPr="00934A99">
        <w:rPr>
          <w:rFonts w:cs="Arial"/>
          <w:szCs w:val="20"/>
        </w:rPr>
        <w:t>Perez-Ruis F, Dalbeth N, Case SM. Pharmacologic urate-lowering therapy and treatment of tophi in patients with gout. UpToDate; 2024. Accessed August 23, 2024</w:t>
      </w:r>
    </w:p>
    <w:p w14:paraId="2EE1F5D3" w14:textId="4182EBD0" w:rsidR="00A94B1C" w:rsidRPr="00934A99" w:rsidRDefault="00A94B1C" w:rsidP="00A94B1C">
      <w:pPr>
        <w:numPr>
          <w:ilvl w:val="0"/>
          <w:numId w:val="21"/>
        </w:numPr>
        <w:rPr>
          <w:rFonts w:cs="Arial"/>
          <w:szCs w:val="20"/>
        </w:rPr>
      </w:pPr>
      <w:r w:rsidRPr="5B09157C">
        <w:rPr>
          <w:rFonts w:cs="Arial"/>
          <w:szCs w:val="20"/>
        </w:rPr>
        <w:t>USPDI, Micromedex; 202</w:t>
      </w:r>
      <w:r w:rsidR="00B8210D">
        <w:rPr>
          <w:rFonts w:cs="Arial"/>
          <w:szCs w:val="20"/>
        </w:rPr>
        <w:t>6</w:t>
      </w:r>
      <w:r w:rsidRPr="5B09157C">
        <w:rPr>
          <w:rFonts w:cs="Arial"/>
          <w:szCs w:val="20"/>
        </w:rPr>
        <w:t xml:space="preserve">. </w:t>
      </w:r>
    </w:p>
    <w:p w14:paraId="3FA1E7DB" w14:textId="6E6C7D3C" w:rsidR="00777CA4" w:rsidRDefault="00A94B1C" w:rsidP="005E115B">
      <w:pPr>
        <w:numPr>
          <w:ilvl w:val="0"/>
          <w:numId w:val="21"/>
        </w:numPr>
      </w:pPr>
      <w:r w:rsidRPr="00A94B1C">
        <w:rPr>
          <w:rFonts w:cs="Arial"/>
          <w:szCs w:val="20"/>
        </w:rPr>
        <w:t>Facts and Comparisons eAnswers (online); 202</w:t>
      </w:r>
      <w:r w:rsidR="00B8210D">
        <w:rPr>
          <w:rFonts w:cs="Arial"/>
          <w:szCs w:val="20"/>
        </w:rPr>
        <w:t>6</w:t>
      </w:r>
      <w:r w:rsidRPr="00A94B1C">
        <w:rPr>
          <w:rFonts w:cs="Arial"/>
          <w:szCs w:val="20"/>
        </w:rPr>
        <w:t xml:space="preserve"> Clinical Drug Information, LLC. </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54B63" w14:textId="77777777" w:rsidR="00EC3AC5" w:rsidRPr="00C02553" w:rsidRDefault="00EC3AC5" w:rsidP="00AE77DB">
      <w:r w:rsidRPr="00C02553">
        <w:separator/>
      </w:r>
    </w:p>
  </w:endnote>
  <w:endnote w:type="continuationSeparator" w:id="0">
    <w:p w14:paraId="1D70E200" w14:textId="77777777" w:rsidR="00EC3AC5" w:rsidRPr="00C02553" w:rsidRDefault="00EC3AC5" w:rsidP="00AE77DB">
      <w:r w:rsidRPr="00C02553">
        <w:continuationSeparator/>
      </w:r>
    </w:p>
  </w:endnote>
  <w:endnote w:type="continuationNotice" w:id="1">
    <w:p w14:paraId="6619B859" w14:textId="77777777" w:rsidR="00EC3AC5" w:rsidRPr="00C02553" w:rsidRDefault="00EC3A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B27BA" w14:textId="77777777" w:rsidR="00EC3AC5" w:rsidRPr="00C02553" w:rsidRDefault="00EC3AC5" w:rsidP="00AE77DB">
      <w:r w:rsidRPr="00C02553">
        <w:separator/>
      </w:r>
    </w:p>
  </w:footnote>
  <w:footnote w:type="continuationSeparator" w:id="0">
    <w:p w14:paraId="63B7C242" w14:textId="77777777" w:rsidR="00EC3AC5" w:rsidRPr="00C02553" w:rsidRDefault="00EC3AC5" w:rsidP="00AE77DB">
      <w:r w:rsidRPr="00C02553">
        <w:continuationSeparator/>
      </w:r>
    </w:p>
  </w:footnote>
  <w:footnote w:type="continuationNotice" w:id="1">
    <w:p w14:paraId="0A762B21" w14:textId="77777777" w:rsidR="00EC3AC5" w:rsidRPr="00C02553" w:rsidRDefault="00EC3A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09037ED" w:rsidR="00006A61" w:rsidRPr="00C02553" w:rsidRDefault="00262C38">
    <w:pPr>
      <w:pStyle w:val="Header"/>
      <w:framePr w:wrap="around" w:vAnchor="text" w:hAnchor="margin" w:xAlign="right" w:y="1"/>
      <w:rPr>
        <w:rStyle w:val="PageNumber"/>
        <w:rFonts w:ascii="Times New Roman" w:hAnsi="Times New Roman"/>
      </w:rPr>
    </w:pPr>
    <w:r>
      <w:rPr>
        <w:noProof/>
      </w:rPr>
      <w:pict w14:anchorId="3AC848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34032"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A4548BF" w:rsidR="00596936" w:rsidRDefault="00262C38">
    <w:pPr>
      <w:pStyle w:val="Header"/>
    </w:pPr>
    <w:r>
      <w:rPr>
        <w:noProof/>
      </w:rPr>
      <w:pict w14:anchorId="177E10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34033"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B84C056" w:rsidR="00006A61" w:rsidRPr="00C02553" w:rsidRDefault="00262C38">
    <w:pPr>
      <w:pStyle w:val="Header"/>
      <w:rPr>
        <w:rFonts w:ascii="Times New Roman" w:hAnsi="Times New Roman"/>
      </w:rPr>
    </w:pPr>
    <w:r>
      <w:rPr>
        <w:noProof/>
      </w:rPr>
      <w:pict w14:anchorId="4B53DE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34031"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2F3A2C"/>
    <w:multiLevelType w:val="hybridMultilevel"/>
    <w:tmpl w:val="BB8C8E9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48D40C3"/>
    <w:multiLevelType w:val="multilevel"/>
    <w:tmpl w:val="E1A2A51C"/>
    <w:numStyleLink w:val="References"/>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C94B71"/>
    <w:multiLevelType w:val="hybridMultilevel"/>
    <w:tmpl w:val="A95A4A9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hint="default"/>
      </w:rPr>
    </w:lvl>
    <w:lvl w:ilvl="2" w:tplc="992E06DE">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D1D3F76"/>
    <w:multiLevelType w:val="hybridMultilevel"/>
    <w:tmpl w:val="9CDC0D56"/>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0F77689"/>
    <w:multiLevelType w:val="hybridMultilevel"/>
    <w:tmpl w:val="7FF09602"/>
    <w:lvl w:ilvl="0" w:tplc="04090001">
      <w:start w:val="1"/>
      <w:numFmt w:val="bullet"/>
      <w:lvlText w:val=""/>
      <w:lvlJc w:val="left"/>
      <w:pPr>
        <w:ind w:left="360" w:hanging="360"/>
      </w:pPr>
      <w:rPr>
        <w:rFonts w:ascii="Symbol" w:hAnsi="Symbol" w:hint="default"/>
      </w:rPr>
    </w:lvl>
    <w:lvl w:ilvl="1" w:tplc="495E02B8">
      <w:start w:val="1"/>
      <w:numFmt w:val="bullet"/>
      <w:lvlText w:val="o"/>
      <w:lvlJc w:val="left"/>
      <w:pPr>
        <w:ind w:left="72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5"/>
  </w:num>
  <w:num w:numId="4" w16cid:durableId="320159068">
    <w:abstractNumId w:val="9"/>
  </w:num>
  <w:num w:numId="5" w16cid:durableId="1769498754">
    <w:abstractNumId w:val="4"/>
  </w:num>
  <w:num w:numId="6" w16cid:durableId="1094596320">
    <w:abstractNumId w:val="17"/>
  </w:num>
  <w:num w:numId="7" w16cid:durableId="2110008555">
    <w:abstractNumId w:val="2"/>
  </w:num>
  <w:num w:numId="8" w16cid:durableId="489712751">
    <w:abstractNumId w:val="8"/>
  </w:num>
  <w:num w:numId="9" w16cid:durableId="1085147965">
    <w:abstractNumId w:val="14"/>
  </w:num>
  <w:num w:numId="10" w16cid:durableId="917518096">
    <w:abstractNumId w:val="10"/>
  </w:num>
  <w:num w:numId="11" w16cid:durableId="1894998475">
    <w:abstractNumId w:val="1"/>
  </w:num>
  <w:num w:numId="12" w16cid:durableId="1418215296">
    <w:abstractNumId w:val="18"/>
  </w:num>
  <w:num w:numId="13" w16cid:durableId="604729665">
    <w:abstractNumId w:val="6"/>
  </w:num>
  <w:num w:numId="14" w16cid:durableId="1805081292">
    <w:abstractNumId w:val="16"/>
  </w:num>
  <w:num w:numId="15" w16cid:durableId="785001519">
    <w:abstractNumId w:val="13"/>
  </w:num>
  <w:num w:numId="16" w16cid:durableId="685714963">
    <w:abstractNumId w:val="12"/>
  </w:num>
  <w:num w:numId="17" w16cid:durableId="723600171">
    <w:abstractNumId w:val="11"/>
  </w:num>
  <w:num w:numId="18" w16cid:durableId="2022733134">
    <w:abstractNumId w:val="19"/>
  </w:num>
  <w:num w:numId="19" w16cid:durableId="2009550951">
    <w:abstractNumId w:val="7"/>
  </w:num>
  <w:num w:numId="20" w16cid:durableId="1415735822">
    <w:abstractNumId w:val="15"/>
  </w:num>
  <w:num w:numId="21" w16cid:durableId="1743656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LPOWildNaDFoL9vnA4+dztB7qzGMgjPpWEEH6tOKpgVNpl5srR7/HGGd/46055KI92JTAdjatotFzFveDiGEA==" w:salt="qW/dgk69dK8bwMIRF8RYt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40AD3"/>
    <w:rsid w:val="00053807"/>
    <w:rsid w:val="000572E5"/>
    <w:rsid w:val="00061541"/>
    <w:rsid w:val="00064162"/>
    <w:rsid w:val="00065C22"/>
    <w:rsid w:val="00074464"/>
    <w:rsid w:val="00076030"/>
    <w:rsid w:val="00082590"/>
    <w:rsid w:val="000912E3"/>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2E53"/>
    <w:rsid w:val="00125F5F"/>
    <w:rsid w:val="00126951"/>
    <w:rsid w:val="00126B60"/>
    <w:rsid w:val="00127EF6"/>
    <w:rsid w:val="001310AD"/>
    <w:rsid w:val="001314A5"/>
    <w:rsid w:val="00132C7F"/>
    <w:rsid w:val="00144DBE"/>
    <w:rsid w:val="00152C8B"/>
    <w:rsid w:val="0015636A"/>
    <w:rsid w:val="00172053"/>
    <w:rsid w:val="00177A80"/>
    <w:rsid w:val="00184DD1"/>
    <w:rsid w:val="001A50CB"/>
    <w:rsid w:val="001A74B7"/>
    <w:rsid w:val="001B2D47"/>
    <w:rsid w:val="001C0250"/>
    <w:rsid w:val="001C6DA4"/>
    <w:rsid w:val="001C73B1"/>
    <w:rsid w:val="001C7914"/>
    <w:rsid w:val="001D1E7D"/>
    <w:rsid w:val="001D6567"/>
    <w:rsid w:val="001E2CCB"/>
    <w:rsid w:val="001E4CBA"/>
    <w:rsid w:val="001E523C"/>
    <w:rsid w:val="001E61DF"/>
    <w:rsid w:val="001F2B9F"/>
    <w:rsid w:val="001F5954"/>
    <w:rsid w:val="002017CB"/>
    <w:rsid w:val="00202DD3"/>
    <w:rsid w:val="00206E7D"/>
    <w:rsid w:val="00217E14"/>
    <w:rsid w:val="00217EFD"/>
    <w:rsid w:val="00222134"/>
    <w:rsid w:val="0022233F"/>
    <w:rsid w:val="00226275"/>
    <w:rsid w:val="00246564"/>
    <w:rsid w:val="00246A3B"/>
    <w:rsid w:val="00255404"/>
    <w:rsid w:val="0025594F"/>
    <w:rsid w:val="00262C38"/>
    <w:rsid w:val="00264B5E"/>
    <w:rsid w:val="00270C5E"/>
    <w:rsid w:val="00290A03"/>
    <w:rsid w:val="0029159A"/>
    <w:rsid w:val="00291600"/>
    <w:rsid w:val="002A02F4"/>
    <w:rsid w:val="002B34CE"/>
    <w:rsid w:val="002B72EF"/>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1BB7"/>
    <w:rsid w:val="003D641B"/>
    <w:rsid w:val="003F227C"/>
    <w:rsid w:val="003F6981"/>
    <w:rsid w:val="004023CC"/>
    <w:rsid w:val="00407564"/>
    <w:rsid w:val="00411152"/>
    <w:rsid w:val="004156AA"/>
    <w:rsid w:val="004253A1"/>
    <w:rsid w:val="00430521"/>
    <w:rsid w:val="004313B6"/>
    <w:rsid w:val="00433339"/>
    <w:rsid w:val="00446BBC"/>
    <w:rsid w:val="004472C0"/>
    <w:rsid w:val="00450705"/>
    <w:rsid w:val="00451928"/>
    <w:rsid w:val="004536F3"/>
    <w:rsid w:val="0046618B"/>
    <w:rsid w:val="004762D2"/>
    <w:rsid w:val="0048608C"/>
    <w:rsid w:val="00496E57"/>
    <w:rsid w:val="004B3E10"/>
    <w:rsid w:val="004C0F5D"/>
    <w:rsid w:val="004C375A"/>
    <w:rsid w:val="004C4954"/>
    <w:rsid w:val="004C5767"/>
    <w:rsid w:val="004D5322"/>
    <w:rsid w:val="004D78B0"/>
    <w:rsid w:val="004E611F"/>
    <w:rsid w:val="004F2A06"/>
    <w:rsid w:val="004F2A79"/>
    <w:rsid w:val="004F4D37"/>
    <w:rsid w:val="00501A14"/>
    <w:rsid w:val="00501DE3"/>
    <w:rsid w:val="005058CB"/>
    <w:rsid w:val="0051044D"/>
    <w:rsid w:val="005139E4"/>
    <w:rsid w:val="00515075"/>
    <w:rsid w:val="00520FE9"/>
    <w:rsid w:val="005233E7"/>
    <w:rsid w:val="005328B2"/>
    <w:rsid w:val="00535BD5"/>
    <w:rsid w:val="00540977"/>
    <w:rsid w:val="00551454"/>
    <w:rsid w:val="00551668"/>
    <w:rsid w:val="005572D5"/>
    <w:rsid w:val="0056544A"/>
    <w:rsid w:val="00566BE4"/>
    <w:rsid w:val="00570D21"/>
    <w:rsid w:val="00576113"/>
    <w:rsid w:val="00590652"/>
    <w:rsid w:val="0059235F"/>
    <w:rsid w:val="00596936"/>
    <w:rsid w:val="005A2F1E"/>
    <w:rsid w:val="005A4232"/>
    <w:rsid w:val="005B49FF"/>
    <w:rsid w:val="005C2E0E"/>
    <w:rsid w:val="005C3616"/>
    <w:rsid w:val="005D36B2"/>
    <w:rsid w:val="005D4EE0"/>
    <w:rsid w:val="005D52E7"/>
    <w:rsid w:val="005D78B5"/>
    <w:rsid w:val="005E3572"/>
    <w:rsid w:val="005E45E4"/>
    <w:rsid w:val="005F0A81"/>
    <w:rsid w:val="005F0FCF"/>
    <w:rsid w:val="0060042F"/>
    <w:rsid w:val="006008BC"/>
    <w:rsid w:val="00602CFD"/>
    <w:rsid w:val="00606B55"/>
    <w:rsid w:val="00612A7B"/>
    <w:rsid w:val="00616E5E"/>
    <w:rsid w:val="006173A4"/>
    <w:rsid w:val="00617F0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41DC3"/>
    <w:rsid w:val="0075162C"/>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04E9"/>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183A"/>
    <w:rsid w:val="008F44C0"/>
    <w:rsid w:val="008F5999"/>
    <w:rsid w:val="00901583"/>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1B0E"/>
    <w:rsid w:val="009C3CC7"/>
    <w:rsid w:val="009C7B77"/>
    <w:rsid w:val="009D2057"/>
    <w:rsid w:val="009D24E2"/>
    <w:rsid w:val="009D3D6C"/>
    <w:rsid w:val="009D5551"/>
    <w:rsid w:val="009D62DB"/>
    <w:rsid w:val="009D6C3E"/>
    <w:rsid w:val="009E3B42"/>
    <w:rsid w:val="009F21BB"/>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94B1C"/>
    <w:rsid w:val="00AA70AB"/>
    <w:rsid w:val="00AB0B9F"/>
    <w:rsid w:val="00AB1713"/>
    <w:rsid w:val="00AB63BE"/>
    <w:rsid w:val="00AC1EBC"/>
    <w:rsid w:val="00AC2599"/>
    <w:rsid w:val="00AC2DE9"/>
    <w:rsid w:val="00AD2C5F"/>
    <w:rsid w:val="00AE1481"/>
    <w:rsid w:val="00AE27F9"/>
    <w:rsid w:val="00AE77DB"/>
    <w:rsid w:val="00AF4B53"/>
    <w:rsid w:val="00AF7453"/>
    <w:rsid w:val="00B00FFF"/>
    <w:rsid w:val="00B06084"/>
    <w:rsid w:val="00B16735"/>
    <w:rsid w:val="00B17EDE"/>
    <w:rsid w:val="00B22585"/>
    <w:rsid w:val="00B33693"/>
    <w:rsid w:val="00B34C53"/>
    <w:rsid w:val="00B507A5"/>
    <w:rsid w:val="00B52475"/>
    <w:rsid w:val="00B535DA"/>
    <w:rsid w:val="00B550C2"/>
    <w:rsid w:val="00B56DCC"/>
    <w:rsid w:val="00B56F54"/>
    <w:rsid w:val="00B638C2"/>
    <w:rsid w:val="00B644DC"/>
    <w:rsid w:val="00B758AB"/>
    <w:rsid w:val="00B76277"/>
    <w:rsid w:val="00B772AB"/>
    <w:rsid w:val="00B80395"/>
    <w:rsid w:val="00B80B56"/>
    <w:rsid w:val="00B8210D"/>
    <w:rsid w:val="00B86372"/>
    <w:rsid w:val="00BA096D"/>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3C4B"/>
    <w:rsid w:val="00CA7252"/>
    <w:rsid w:val="00CB2C5A"/>
    <w:rsid w:val="00CD0F37"/>
    <w:rsid w:val="00CE0C1C"/>
    <w:rsid w:val="00CE34AF"/>
    <w:rsid w:val="00CF00A4"/>
    <w:rsid w:val="00CF25FB"/>
    <w:rsid w:val="00CF2FDD"/>
    <w:rsid w:val="00CF614C"/>
    <w:rsid w:val="00D02F34"/>
    <w:rsid w:val="00D10C50"/>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3EC"/>
    <w:rsid w:val="00E11A3F"/>
    <w:rsid w:val="00E1238B"/>
    <w:rsid w:val="00E1386E"/>
    <w:rsid w:val="00E2369B"/>
    <w:rsid w:val="00E23EC0"/>
    <w:rsid w:val="00E354AA"/>
    <w:rsid w:val="00E43D54"/>
    <w:rsid w:val="00E442FB"/>
    <w:rsid w:val="00E529DB"/>
    <w:rsid w:val="00E53A5E"/>
    <w:rsid w:val="00E6466A"/>
    <w:rsid w:val="00E70C77"/>
    <w:rsid w:val="00E72221"/>
    <w:rsid w:val="00E83428"/>
    <w:rsid w:val="00E84C58"/>
    <w:rsid w:val="00E873A5"/>
    <w:rsid w:val="00E90D11"/>
    <w:rsid w:val="00E915E5"/>
    <w:rsid w:val="00EB0367"/>
    <w:rsid w:val="00EB4FB9"/>
    <w:rsid w:val="00EB5BC8"/>
    <w:rsid w:val="00EC2738"/>
    <w:rsid w:val="00EC3AC5"/>
    <w:rsid w:val="00EC58A0"/>
    <w:rsid w:val="00ED4049"/>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1129AF14"/>
    <w:rsid w:val="2F617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741DC3"/>
    <w:rPr>
      <w:rFonts w:ascii="Arial" w:hAnsi="Arial"/>
      <w:szCs w:val="24"/>
    </w:rPr>
  </w:style>
  <w:style w:type="character" w:styleId="CommentReference">
    <w:name w:val="annotation reference"/>
    <w:basedOn w:val="DefaultParagraphFont"/>
    <w:uiPriority w:val="99"/>
    <w:semiHidden/>
    <w:unhideWhenUsed/>
    <w:rsid w:val="002B72EF"/>
    <w:rPr>
      <w:sz w:val="16"/>
      <w:szCs w:val="16"/>
    </w:rPr>
  </w:style>
  <w:style w:type="paragraph" w:styleId="CommentSubject">
    <w:name w:val="annotation subject"/>
    <w:basedOn w:val="CommentText"/>
    <w:next w:val="CommentText"/>
    <w:link w:val="CommentSubjectChar"/>
    <w:uiPriority w:val="99"/>
    <w:semiHidden/>
    <w:unhideWhenUsed/>
    <w:rsid w:val="002B72EF"/>
    <w:rPr>
      <w:b/>
      <w:bCs/>
    </w:rPr>
  </w:style>
  <w:style w:type="character" w:customStyle="1" w:styleId="CommentTextChar">
    <w:name w:val="Comment Text Char"/>
    <w:basedOn w:val="DefaultParagraphFont"/>
    <w:link w:val="CommentText"/>
    <w:semiHidden/>
    <w:rsid w:val="002B72EF"/>
    <w:rPr>
      <w:rFonts w:ascii="Arial" w:hAnsi="Arial"/>
    </w:rPr>
  </w:style>
  <w:style w:type="character" w:customStyle="1" w:styleId="CommentSubjectChar">
    <w:name w:val="Comment Subject Char"/>
    <w:basedOn w:val="CommentTextChar"/>
    <w:link w:val="CommentSubject"/>
    <w:uiPriority w:val="99"/>
    <w:semiHidden/>
    <w:rsid w:val="002B72E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schemas.microsoft.com/office/2006/documentManagement/types"/>
    <ds:schemaRef ds:uri="http://schemas.microsoft.com/sharepoint/v3"/>
    <ds:schemaRef ds:uri="http://purl.org/dc/elements/1.1/"/>
    <ds:schemaRef ds:uri="http://www.w3.org/XML/1998/namespace"/>
    <ds:schemaRef ds:uri="http://schemas.microsoft.com/office/2006/metadata/properties"/>
    <ds:schemaRef ds:uri="aba01ddc-ae9a-4c9e-819c-7140b4239cde"/>
    <ds:schemaRef ds:uri="f5eefb00-5952-4f7e-8cf8-96f81cfadd01"/>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76E340F0-F629-443E-AE5E-9248ECBF8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3948</Characters>
  <Application>Microsoft Office Word</Application>
  <DocSecurity>10</DocSecurity>
  <Lines>32</Lines>
  <Paragraphs>9</Paragraphs>
  <ScaleCrop>false</ScaleCrop>
  <HeadingPairs>
    <vt:vector size="2" baseType="variant">
      <vt:variant>
        <vt:lpstr>Title</vt:lpstr>
      </vt:variant>
      <vt:variant>
        <vt:i4>1</vt:i4>
      </vt:variant>
    </vt:vector>
  </HeadingPairs>
  <TitlesOfParts>
    <vt:vector size="1" baseType="lpstr">
      <vt:lpstr>Antihyperuricemic Agents PDL Edit</vt:lpstr>
    </vt:vector>
  </TitlesOfParts>
  <Company>DSS</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Antihyperuricemic Agents PDL Edit</dc:title>
  <dc:creator>DMS</dc:creator>
  <cp:lastModifiedBy>Herzing, Jamie</cp:lastModifiedBy>
  <cp:revision>15</cp:revision>
  <cp:lastPrinted>2018-10-31T20:17:00Z</cp:lastPrinted>
  <dcterms:created xsi:type="dcterms:W3CDTF">2025-11-21T21:46:00Z</dcterms:created>
  <dcterms:modified xsi:type="dcterms:W3CDTF">2026-10-09T20:21:00Z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4a796421ab7af298c4e5ff590eeedefd884e1b0d721a52172f1ea3064e78cc45</vt:lpwstr>
  </property>
</Properties>
</file>