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2353A3AA" w:rsidR="004C5767" w:rsidRPr="00EC78D1" w:rsidRDefault="004C5767" w:rsidP="002D6F28">
      <w:pPr>
        <w:pStyle w:val="tbody"/>
        <w:tabs>
          <w:tab w:val="left" w:pos="2460"/>
        </w:tabs>
        <w:rPr>
          <w:b w:val="0"/>
          <w:bCs/>
        </w:rPr>
      </w:pPr>
      <w:r w:rsidRPr="00C02553">
        <w:t>Drug/Drug Class:</w:t>
      </w:r>
      <w:r w:rsidR="002D6F28">
        <w:t xml:space="preserve"> </w:t>
      </w:r>
      <w:r w:rsidR="002D6F28" w:rsidRPr="002D6F28">
        <w:rPr>
          <w:b w:val="0"/>
          <w:bCs/>
        </w:rPr>
        <w:t>Cyclin-Dependent Kinase (CDK) 4/6 Inhibitors PDL Edit</w:t>
      </w:r>
      <w:r w:rsidR="003B4820">
        <w:t xml:space="preserve"> </w:t>
      </w:r>
      <w:r w:rsidR="002D6F28">
        <w:tab/>
      </w:r>
    </w:p>
    <w:p w14:paraId="7AD7FFCE" w14:textId="1D4245C6" w:rsidR="004C5767" w:rsidRPr="00EC78D1" w:rsidRDefault="004C5767" w:rsidP="00D27533">
      <w:pPr>
        <w:pStyle w:val="tbody"/>
        <w:rPr>
          <w:b w:val="0"/>
          <w:bCs/>
        </w:rPr>
      </w:pPr>
      <w:r w:rsidRPr="00C02553">
        <w:t xml:space="preserve">First Implementation Date: </w:t>
      </w:r>
      <w:r w:rsidR="00881F47" w:rsidRPr="00881F47">
        <w:rPr>
          <w:b w:val="0"/>
          <w:bCs/>
        </w:rPr>
        <w:t>April 1, 2021</w:t>
      </w:r>
    </w:p>
    <w:p w14:paraId="4B7D760D" w14:textId="26307D04" w:rsidR="004C5767" w:rsidRPr="00D27533" w:rsidRDefault="00B142B0" w:rsidP="00D27533">
      <w:pPr>
        <w:pStyle w:val="tbody"/>
        <w:rPr>
          <w:b w:val="0"/>
          <w:bCs/>
        </w:rPr>
      </w:pPr>
      <w:r>
        <w:t>Propos</w:t>
      </w:r>
      <w:r w:rsidR="004C5767" w:rsidRPr="00C02553">
        <w:t>ed Date:</w:t>
      </w:r>
      <w:r w:rsidR="00065C22">
        <w:t xml:space="preserve"> </w:t>
      </w:r>
      <w:r w:rsidRPr="00B142B0">
        <w:rPr>
          <w:b w:val="0"/>
          <w:bCs/>
        </w:rPr>
        <w:t>October 20</w:t>
      </w:r>
      <w:r w:rsidR="0067509F" w:rsidRPr="0067509F">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03479354" w14:textId="296245E9" w:rsidR="004C5767" w:rsidRDefault="004C5767" w:rsidP="00881F47">
      <w:pPr>
        <w:pStyle w:val="tbody"/>
        <w:rPr>
          <w:b w:val="0"/>
          <w:bCs/>
          <w:spacing w:val="-3"/>
        </w:rPr>
      </w:pPr>
      <w:r w:rsidRPr="00C02553">
        <w:t xml:space="preserve">Criteria Status: </w:t>
      </w:r>
      <w:r w:rsidR="00566BE4" w:rsidRPr="00D27533">
        <w:rPr>
          <w:b w:val="0"/>
          <w:bCs/>
          <w:spacing w:val="-3"/>
        </w:rPr>
        <w:t>Existing Criteria</w:t>
      </w:r>
    </w:p>
    <w:p w14:paraId="4AF01342" w14:textId="77777777" w:rsidR="00EA1D44" w:rsidRPr="002C2C41" w:rsidRDefault="00EA1D44" w:rsidP="00881F47">
      <w:pPr>
        <w:pStyle w:val="tbody"/>
        <w:rPr>
          <w:rFonts w:cs="Arial"/>
        </w:rPr>
      </w:pPr>
    </w:p>
    <w:p w14:paraId="6413BFE8" w14:textId="58D0A3F0"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1041FEB" w14:textId="77777777" w:rsidR="00435A1E" w:rsidRPr="00292666" w:rsidRDefault="00435A1E" w:rsidP="00435A1E">
      <w:pPr>
        <w:pStyle w:val="Header"/>
        <w:tabs>
          <w:tab w:val="clear" w:pos="4320"/>
          <w:tab w:val="clear" w:pos="8640"/>
        </w:tabs>
        <w:rPr>
          <w:sz w:val="20"/>
        </w:rPr>
      </w:pPr>
      <w:r w:rsidRPr="00292666">
        <w:rPr>
          <w:sz w:val="20"/>
        </w:rPr>
        <w:t>The Centers for Disease Control and Prevention (CDC) ranks breast cancer as the most common form of cancer among women in the United States, second only to skin cancer. Breast cancer falls behind only lung cancer in death rates compared to all other forms of cancer. About 1</w:t>
      </w:r>
      <w:r>
        <w:rPr>
          <w:sz w:val="20"/>
        </w:rPr>
        <w:t>3</w:t>
      </w:r>
      <w:r w:rsidRPr="00292666">
        <w:rPr>
          <w:sz w:val="20"/>
        </w:rPr>
        <w:t>% of women can be expected to develop invasive breast cancer over the course of their lifetime in relation to 1.14% of males. Hormone-receptor positive (HR+) breast cancer accounts for 70-80% of new cases and has historically been treated with endocrine therapy including selective estrogen receptor inhibitors or aromatase inhibitors. Due to the high rate of resistance seen with these agents, targeted treatments such as cyclin-dependent kinase (CDK) inhibitors have been developed.</w:t>
      </w:r>
    </w:p>
    <w:p w14:paraId="46496D9C" w14:textId="77777777" w:rsidR="00435A1E" w:rsidRPr="00292666" w:rsidRDefault="00435A1E" w:rsidP="00435A1E">
      <w:pPr>
        <w:pStyle w:val="Header"/>
        <w:tabs>
          <w:tab w:val="clear" w:pos="4320"/>
          <w:tab w:val="clear" w:pos="8640"/>
        </w:tabs>
        <w:rPr>
          <w:rFonts w:cs="Arial"/>
          <w:spacing w:val="-3"/>
          <w:sz w:val="20"/>
        </w:rPr>
      </w:pPr>
    </w:p>
    <w:p w14:paraId="09FEE19A" w14:textId="744B3FD1" w:rsidR="00435A1E" w:rsidRPr="00AC368E" w:rsidRDefault="00435A1E" w:rsidP="00435A1E">
      <w:pPr>
        <w:pStyle w:val="Header"/>
        <w:tabs>
          <w:tab w:val="clear" w:pos="4320"/>
          <w:tab w:val="clear" w:pos="8640"/>
        </w:tabs>
        <w:rPr>
          <w:rFonts w:cs="Arial"/>
          <w:spacing w:val="-3"/>
          <w:sz w:val="20"/>
        </w:rPr>
      </w:pPr>
      <w:r w:rsidRPr="00292666">
        <w:rPr>
          <w:rFonts w:cs="Arial"/>
          <w:spacing w:val="-3"/>
          <w:sz w:val="20"/>
        </w:rPr>
        <w:t xml:space="preserve">CDKs are protein kinases that serve a multitude of functions including cell proliferation and transcription modulation. CDKs 4 and 6, specifically, play a role in mediating transition from G0/G1 phase to S phase of the cell cycle. Dysregulation or hyperactivation of CDKs 4 and 6 has been identified as a potential source of uncontrolled cell division. The more selective CDK 4/6 inhibitors have replaced the first-generation Pan-CDK inhibitors which were associated with problematic toxicity profiles. </w:t>
      </w:r>
      <w:proofErr w:type="spellStart"/>
      <w:r w:rsidRPr="00292666">
        <w:rPr>
          <w:rFonts w:cs="Arial"/>
          <w:spacing w:val="-3"/>
          <w:sz w:val="20"/>
        </w:rPr>
        <w:t>Ibrance</w:t>
      </w:r>
      <w:proofErr w:type="spellEnd"/>
      <w:r w:rsidRPr="00292666">
        <w:rPr>
          <w:rFonts w:cs="Arial"/>
          <w:spacing w:val="-3"/>
          <w:sz w:val="20"/>
        </w:rPr>
        <w:t xml:space="preserve"> (palbociclib), </w:t>
      </w:r>
      <w:proofErr w:type="spellStart"/>
      <w:r w:rsidRPr="00292666">
        <w:rPr>
          <w:rFonts w:cs="Arial"/>
          <w:spacing w:val="-3"/>
          <w:sz w:val="20"/>
        </w:rPr>
        <w:t>Kisqali</w:t>
      </w:r>
      <w:proofErr w:type="spellEnd"/>
      <w:r w:rsidRPr="00292666">
        <w:rPr>
          <w:rFonts w:cs="Arial"/>
          <w:spacing w:val="-3"/>
          <w:sz w:val="20"/>
        </w:rPr>
        <w:t xml:space="preserve"> (</w:t>
      </w:r>
      <w:proofErr w:type="spellStart"/>
      <w:r w:rsidRPr="00292666">
        <w:rPr>
          <w:rFonts w:cs="Arial"/>
          <w:spacing w:val="-3"/>
          <w:sz w:val="20"/>
        </w:rPr>
        <w:t>ribociclib</w:t>
      </w:r>
      <w:proofErr w:type="spellEnd"/>
      <w:r w:rsidRPr="00292666">
        <w:rPr>
          <w:rFonts w:cs="Arial"/>
          <w:spacing w:val="-3"/>
          <w:sz w:val="20"/>
        </w:rPr>
        <w:t xml:space="preserve">) and </w:t>
      </w:r>
      <w:proofErr w:type="spellStart"/>
      <w:r w:rsidRPr="00292666">
        <w:rPr>
          <w:rFonts w:cs="Arial"/>
          <w:spacing w:val="-3"/>
          <w:sz w:val="20"/>
        </w:rPr>
        <w:t>Verzenio</w:t>
      </w:r>
      <w:proofErr w:type="spellEnd"/>
      <w:r w:rsidRPr="00292666">
        <w:rPr>
          <w:rFonts w:cs="Arial"/>
          <w:spacing w:val="-3"/>
          <w:sz w:val="20"/>
        </w:rPr>
        <w:t xml:space="preserve"> (</w:t>
      </w:r>
      <w:proofErr w:type="spellStart"/>
      <w:r w:rsidRPr="00292666">
        <w:rPr>
          <w:rFonts w:cs="Arial"/>
          <w:spacing w:val="-3"/>
          <w:sz w:val="20"/>
        </w:rPr>
        <w:t>abemaciclib</w:t>
      </w:r>
      <w:proofErr w:type="spellEnd"/>
      <w:r w:rsidRPr="00292666">
        <w:rPr>
          <w:rFonts w:cs="Arial"/>
          <w:spacing w:val="-3"/>
          <w:sz w:val="20"/>
        </w:rPr>
        <w:t xml:space="preserve">) are all indicated for the treatment of adult patients with HR+, human epidermal growth factor receptor 2 negative (HER2-) advanced or metastatic breast cancer. </w:t>
      </w:r>
      <w:proofErr w:type="spellStart"/>
      <w:r w:rsidR="00125FD9">
        <w:rPr>
          <w:rFonts w:cs="Arial"/>
          <w:spacing w:val="-3"/>
          <w:sz w:val="20"/>
        </w:rPr>
        <w:t>Ibrance</w:t>
      </w:r>
      <w:proofErr w:type="spellEnd"/>
      <w:r w:rsidR="00125FD9">
        <w:rPr>
          <w:rFonts w:cs="Arial"/>
          <w:spacing w:val="-3"/>
          <w:sz w:val="20"/>
        </w:rPr>
        <w:t xml:space="preserve"> is also indicated</w:t>
      </w:r>
      <w:r w:rsidR="0016438E">
        <w:rPr>
          <w:rFonts w:cs="Arial"/>
          <w:spacing w:val="-3"/>
          <w:sz w:val="20"/>
        </w:rPr>
        <w:t xml:space="preserve"> for HR</w:t>
      </w:r>
      <w:r w:rsidR="003E59E1">
        <w:rPr>
          <w:rFonts w:cs="Arial"/>
          <w:spacing w:val="-3"/>
          <w:sz w:val="20"/>
        </w:rPr>
        <w:t>+, HER2-positive unresectable or metastatic disease</w:t>
      </w:r>
      <w:r w:rsidR="00AE1F46">
        <w:rPr>
          <w:rFonts w:cs="Arial"/>
          <w:spacing w:val="-3"/>
          <w:sz w:val="20"/>
        </w:rPr>
        <w:t xml:space="preserve"> with </w:t>
      </w:r>
      <w:r w:rsidR="008E3DA3">
        <w:rPr>
          <w:rFonts w:cs="Arial"/>
          <w:spacing w:val="-3"/>
          <w:sz w:val="20"/>
        </w:rPr>
        <w:t>trastuzumab, with or without pertuzumab</w:t>
      </w:r>
      <w:r w:rsidR="001B6643">
        <w:rPr>
          <w:rFonts w:cs="Arial"/>
          <w:spacing w:val="-3"/>
          <w:sz w:val="20"/>
        </w:rPr>
        <w:t xml:space="preserve"> as a first line treatment option.</w:t>
      </w:r>
      <w:r w:rsidR="00620DE1">
        <w:rPr>
          <w:rFonts w:cs="Arial"/>
          <w:spacing w:val="-3"/>
          <w:sz w:val="20"/>
        </w:rPr>
        <w:t xml:space="preserve"> </w:t>
      </w:r>
      <w:r w:rsidRPr="00072112">
        <w:rPr>
          <w:rFonts w:cs="Arial"/>
          <w:spacing w:val="-3"/>
          <w:sz w:val="20"/>
        </w:rPr>
        <w:t xml:space="preserve">The only agent currently approved with an additional indication for use as monotherapy is </w:t>
      </w:r>
      <w:proofErr w:type="spellStart"/>
      <w:r w:rsidRPr="00072112">
        <w:rPr>
          <w:rFonts w:cs="Arial"/>
          <w:spacing w:val="-3"/>
          <w:sz w:val="20"/>
        </w:rPr>
        <w:t>Verzenio</w:t>
      </w:r>
      <w:proofErr w:type="spellEnd"/>
      <w:r w:rsidRPr="00072112">
        <w:rPr>
          <w:rFonts w:cs="Arial"/>
          <w:spacing w:val="-3"/>
          <w:sz w:val="20"/>
        </w:rPr>
        <w:t>; all others require combination therapy with either an aromatase inhibitor or fulvestrant depending on the stage of disease progression</w:t>
      </w:r>
      <w:r w:rsidRPr="00292666">
        <w:rPr>
          <w:rFonts w:cs="Arial"/>
          <w:spacing w:val="-3"/>
          <w:sz w:val="20"/>
        </w:rPr>
        <w:t>.</w:t>
      </w:r>
      <w:r>
        <w:rPr>
          <w:rFonts w:cs="Arial"/>
          <w:spacing w:val="-3"/>
          <w:sz w:val="20"/>
        </w:rPr>
        <w:t xml:space="preserve">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422E7122" w14:textId="2715FCCE" w:rsidR="00EB6EB7" w:rsidRPr="00EB6EB7" w:rsidRDefault="00EB6EB7" w:rsidP="00EB6EB7">
      <w:pPr>
        <w:numPr>
          <w:ilvl w:val="0"/>
          <w:numId w:val="15"/>
        </w:numPr>
      </w:pPr>
      <w:proofErr w:type="spellStart"/>
      <w:r w:rsidRPr="00EB6EB7">
        <w:t>Kisqali</w:t>
      </w:r>
      <w:proofErr w:type="spellEnd"/>
    </w:p>
    <w:p w14:paraId="47320590" w14:textId="7833124F" w:rsidR="00FD34EA" w:rsidRPr="00EB6EB7" w:rsidRDefault="00EB6EB7" w:rsidP="00EB6EB7">
      <w:pPr>
        <w:numPr>
          <w:ilvl w:val="0"/>
          <w:numId w:val="15"/>
        </w:numPr>
      </w:pPr>
      <w:proofErr w:type="spellStart"/>
      <w:r w:rsidRPr="00EB6EB7">
        <w:t>Verzenio</w:t>
      </w:r>
      <w:proofErr w:type="spellEnd"/>
    </w:p>
    <w:p w14:paraId="013808EC" w14:textId="77777777" w:rsidR="00EB6EB7" w:rsidRPr="00EB6EB7" w:rsidRDefault="00EB6EB7" w:rsidP="00EB6EB7">
      <w:pPr>
        <w:rPr>
          <w:b/>
          <w:bCs/>
        </w:rPr>
      </w:pPr>
    </w:p>
    <w:p w14:paraId="56404718" w14:textId="252714AD" w:rsidR="00846FA4" w:rsidRDefault="00846FA4" w:rsidP="00846FA4">
      <w:pPr>
        <w:rPr>
          <w:b/>
          <w:bCs/>
        </w:rPr>
      </w:pPr>
      <w:r>
        <w:rPr>
          <w:b/>
          <w:bCs/>
        </w:rPr>
        <w:t>Non-Preferred Agents:</w:t>
      </w:r>
    </w:p>
    <w:p w14:paraId="3E4D23AC" w14:textId="5A52574F" w:rsidR="001B664F" w:rsidRPr="001B664F" w:rsidRDefault="001B664F" w:rsidP="001B664F">
      <w:pPr>
        <w:numPr>
          <w:ilvl w:val="0"/>
          <w:numId w:val="15"/>
        </w:numPr>
      </w:pPr>
      <w:proofErr w:type="spellStart"/>
      <w:r w:rsidRPr="001B664F">
        <w:t>Cosela</w:t>
      </w:r>
      <w:proofErr w:type="spellEnd"/>
    </w:p>
    <w:p w14:paraId="305E3FDF" w14:textId="23EC6038" w:rsidR="001B664F" w:rsidRPr="001B664F" w:rsidRDefault="001B664F" w:rsidP="001B664F">
      <w:pPr>
        <w:numPr>
          <w:ilvl w:val="0"/>
          <w:numId w:val="15"/>
        </w:numPr>
      </w:pPr>
      <w:proofErr w:type="spellStart"/>
      <w:r w:rsidRPr="001B664F">
        <w:t>Ibrance</w:t>
      </w:r>
      <w:proofErr w:type="spellEnd"/>
    </w:p>
    <w:p w14:paraId="6B2918A6" w14:textId="77777777" w:rsidR="001B664F" w:rsidRPr="002C2C41" w:rsidRDefault="001B664F"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7F6F0989" w:rsidR="0097028A" w:rsidRPr="0079438F" w:rsidRDefault="0097028A" w:rsidP="00696E3A">
      <w:pPr>
        <w:rPr>
          <w:b/>
        </w:rPr>
      </w:pPr>
      <w:r w:rsidRPr="00696E3A">
        <w:rPr>
          <w:b/>
          <w:bCs/>
        </w:rPr>
        <w:t>Drug class for review:</w:t>
      </w:r>
      <w:r w:rsidRPr="00C02553">
        <w:t xml:space="preserve"> </w:t>
      </w:r>
      <w:r w:rsidR="0023065C" w:rsidRPr="0023065C">
        <w:t>Cyclin-Dependent Kinase (CDK) 4/6 Inhibitors</w:t>
      </w:r>
    </w:p>
    <w:p w14:paraId="26CFE8A0" w14:textId="0FA64B60" w:rsidR="008524BA" w:rsidRDefault="0097028A" w:rsidP="00696E3A">
      <w:pPr>
        <w:rPr>
          <w:rFonts w:cs="Arial"/>
          <w:b/>
        </w:rPr>
      </w:pPr>
      <w:r w:rsidRPr="00696E3A">
        <w:rPr>
          <w:b/>
          <w:bCs/>
        </w:rPr>
        <w:lastRenderedPageBreak/>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1839B9AA" w14:textId="77777777" w:rsidR="006A18E1" w:rsidRDefault="006A18E1" w:rsidP="006A18E1">
      <w:pPr>
        <w:numPr>
          <w:ilvl w:val="0"/>
          <w:numId w:val="16"/>
        </w:numPr>
        <w:rPr>
          <w:rFonts w:cs="Arial"/>
          <w:szCs w:val="20"/>
        </w:rPr>
      </w:pPr>
      <w:r>
        <w:rPr>
          <w:rFonts w:cs="Arial"/>
          <w:szCs w:val="20"/>
        </w:rPr>
        <w:t>Must meet one of the following:</w:t>
      </w:r>
    </w:p>
    <w:p w14:paraId="79946454" w14:textId="77777777" w:rsidR="006A18E1" w:rsidRPr="0044701D" w:rsidRDefault="006A18E1" w:rsidP="006A18E1">
      <w:pPr>
        <w:numPr>
          <w:ilvl w:val="1"/>
          <w:numId w:val="16"/>
        </w:numPr>
        <w:rPr>
          <w:rFonts w:cs="Arial"/>
          <w:szCs w:val="20"/>
        </w:rPr>
      </w:pPr>
      <w:r>
        <w:rPr>
          <w:rFonts w:cs="Arial"/>
          <w:szCs w:val="20"/>
        </w:rPr>
        <w:t xml:space="preserve">Claim is for a preferred agent; </w:t>
      </w:r>
    </w:p>
    <w:p w14:paraId="4CD9E5D9" w14:textId="77777777" w:rsidR="006A18E1" w:rsidRPr="0044701D" w:rsidRDefault="006A18E1" w:rsidP="006A18E1">
      <w:pPr>
        <w:numPr>
          <w:ilvl w:val="1"/>
          <w:numId w:val="16"/>
        </w:numPr>
        <w:jc w:val="both"/>
        <w:rPr>
          <w:rFonts w:cs="Arial"/>
          <w:szCs w:val="20"/>
        </w:rPr>
      </w:pPr>
      <w:r w:rsidRPr="0044701D">
        <w:rPr>
          <w:rFonts w:cs="Arial"/>
          <w:szCs w:val="20"/>
        </w:rPr>
        <w:t>Documented compliance on current therapy regimen;</w:t>
      </w:r>
    </w:p>
    <w:p w14:paraId="5E538F12" w14:textId="77777777" w:rsidR="006A18E1" w:rsidRDefault="006A18E1" w:rsidP="006A18E1">
      <w:pPr>
        <w:numPr>
          <w:ilvl w:val="1"/>
          <w:numId w:val="16"/>
        </w:numPr>
        <w:jc w:val="both"/>
        <w:rPr>
          <w:rFonts w:cs="Arial"/>
          <w:szCs w:val="20"/>
        </w:rPr>
      </w:pPr>
      <w:r w:rsidRPr="00C56646">
        <w:rPr>
          <w:rFonts w:cs="Arial"/>
          <w:szCs w:val="20"/>
        </w:rPr>
        <w:t>Failure to achieve desired therapeutic outcomes with trial o</w:t>
      </w:r>
      <w:r>
        <w:rPr>
          <w:rFonts w:cs="Arial"/>
          <w:szCs w:val="20"/>
        </w:rPr>
        <w:t>n</w:t>
      </w:r>
      <w:r w:rsidRPr="00C56646">
        <w:rPr>
          <w:rFonts w:cs="Arial"/>
          <w:szCs w:val="20"/>
        </w:rPr>
        <w:t xml:space="preserve"> </w:t>
      </w:r>
      <w:r>
        <w:rPr>
          <w:rFonts w:cs="Arial"/>
          <w:szCs w:val="20"/>
        </w:rPr>
        <w:t>2</w:t>
      </w:r>
      <w:r w:rsidRPr="00C56646">
        <w:rPr>
          <w:rFonts w:cs="Arial"/>
          <w:szCs w:val="20"/>
        </w:rPr>
        <w:t xml:space="preserve"> </w:t>
      </w:r>
      <w:r>
        <w:rPr>
          <w:rFonts w:cs="Arial"/>
          <w:szCs w:val="20"/>
        </w:rPr>
        <w:t xml:space="preserve">or more </w:t>
      </w:r>
      <w:r w:rsidRPr="00C56646">
        <w:rPr>
          <w:rFonts w:cs="Arial"/>
          <w:szCs w:val="20"/>
        </w:rPr>
        <w:t>preferred agent</w:t>
      </w:r>
      <w:r>
        <w:rPr>
          <w:rFonts w:cs="Arial"/>
          <w:szCs w:val="20"/>
        </w:rPr>
        <w:t>s;</w:t>
      </w:r>
    </w:p>
    <w:p w14:paraId="46A48C31" w14:textId="77777777" w:rsidR="006A18E1" w:rsidRDefault="006A18E1" w:rsidP="006A18E1">
      <w:pPr>
        <w:numPr>
          <w:ilvl w:val="2"/>
          <w:numId w:val="16"/>
        </w:numPr>
        <w:tabs>
          <w:tab w:val="num" w:pos="2070"/>
        </w:tabs>
        <w:jc w:val="both"/>
        <w:rPr>
          <w:rFonts w:cs="Arial"/>
          <w:szCs w:val="20"/>
        </w:rPr>
      </w:pPr>
      <w:r w:rsidRPr="00CA278F">
        <w:rPr>
          <w:rFonts w:cs="Arial"/>
          <w:szCs w:val="20"/>
        </w:rPr>
        <w:t>Documented trial period of preferred agents</w:t>
      </w:r>
      <w:r>
        <w:rPr>
          <w:rFonts w:cs="Arial"/>
          <w:szCs w:val="20"/>
        </w:rPr>
        <w:t>;</w:t>
      </w:r>
      <w:r w:rsidRPr="00CA278F">
        <w:rPr>
          <w:rFonts w:cs="Arial"/>
          <w:szCs w:val="20"/>
        </w:rPr>
        <w:t xml:space="preserve"> </w:t>
      </w:r>
    </w:p>
    <w:p w14:paraId="31A307CC" w14:textId="77777777" w:rsidR="006A18E1" w:rsidRDefault="006A18E1" w:rsidP="006A18E1">
      <w:pPr>
        <w:numPr>
          <w:ilvl w:val="2"/>
          <w:numId w:val="16"/>
        </w:numPr>
        <w:tabs>
          <w:tab w:val="num" w:pos="2070"/>
        </w:tabs>
        <w:jc w:val="both"/>
        <w:rPr>
          <w:rFonts w:cs="Arial"/>
          <w:szCs w:val="20"/>
        </w:rPr>
      </w:pPr>
      <w:r w:rsidRPr="00CA278F">
        <w:rPr>
          <w:rFonts w:cs="Arial"/>
          <w:szCs w:val="20"/>
        </w:rPr>
        <w:t>Documented ADE/ADR to preferred agents</w:t>
      </w:r>
      <w:r>
        <w:rPr>
          <w:rFonts w:cs="Arial"/>
          <w:szCs w:val="20"/>
        </w:rPr>
        <w:t xml:space="preserve">; </w:t>
      </w:r>
      <w:r>
        <w:rPr>
          <w:rFonts w:cs="Arial"/>
          <w:b/>
          <w:bCs/>
          <w:szCs w:val="20"/>
        </w:rPr>
        <w:t>OR</w:t>
      </w:r>
    </w:p>
    <w:p w14:paraId="566EE856" w14:textId="77777777" w:rsidR="006A18E1" w:rsidRPr="00652E1A" w:rsidRDefault="006A18E1" w:rsidP="006A18E1">
      <w:pPr>
        <w:pStyle w:val="ListParagraph"/>
        <w:numPr>
          <w:ilvl w:val="2"/>
          <w:numId w:val="16"/>
        </w:numPr>
        <w:rPr>
          <w:rFonts w:cs="Arial"/>
          <w:szCs w:val="20"/>
        </w:rPr>
      </w:pPr>
      <w:r w:rsidRPr="00652E1A">
        <w:rPr>
          <w:rFonts w:cs="Arial"/>
          <w:szCs w:val="20"/>
        </w:rPr>
        <w:t xml:space="preserve">Documented reason of medical necessity for use of a non-preferred agent without required trial of preferred agents (e.g., contraindication, drug interaction with existing therapy that cannot be modified/ameliorated, preferred agents are not indicated or NCCN/ASCO guideline-recommended); </w:t>
      </w:r>
      <w:r w:rsidRPr="00CC68D0">
        <w:rPr>
          <w:rFonts w:cs="Arial"/>
          <w:b/>
          <w:szCs w:val="20"/>
        </w:rPr>
        <w:t>OR</w:t>
      </w:r>
      <w:r w:rsidRPr="00652E1A">
        <w:rPr>
          <w:rFonts w:cs="Arial"/>
          <w:szCs w:val="20"/>
        </w:rPr>
        <w:t xml:space="preserve">  </w:t>
      </w:r>
    </w:p>
    <w:p w14:paraId="77D4132A" w14:textId="77777777" w:rsidR="006A18E1" w:rsidRDefault="006A18E1" w:rsidP="006A18E1">
      <w:pPr>
        <w:numPr>
          <w:ilvl w:val="1"/>
          <w:numId w:val="16"/>
        </w:numPr>
        <w:rPr>
          <w:rFonts w:cs="Arial"/>
          <w:szCs w:val="20"/>
        </w:rPr>
      </w:pPr>
      <w:r>
        <w:rPr>
          <w:rFonts w:cs="Arial"/>
          <w:szCs w:val="20"/>
        </w:rPr>
        <w:t xml:space="preserve">Claim is for </w:t>
      </w:r>
      <w:proofErr w:type="spellStart"/>
      <w:r w:rsidRPr="00181CAF">
        <w:rPr>
          <w:rFonts w:cs="Arial"/>
          <w:szCs w:val="20"/>
        </w:rPr>
        <w:t>Cosela</w:t>
      </w:r>
      <w:proofErr w:type="spellEnd"/>
      <w:r w:rsidRPr="00181CAF">
        <w:rPr>
          <w:rFonts w:cs="Arial"/>
          <w:szCs w:val="20"/>
        </w:rPr>
        <w:t xml:space="preserve"> </w:t>
      </w:r>
      <w:r>
        <w:rPr>
          <w:rFonts w:cs="Arial"/>
          <w:szCs w:val="20"/>
        </w:rPr>
        <w:t xml:space="preserve">and </w:t>
      </w:r>
      <w:r w:rsidRPr="00181CAF">
        <w:rPr>
          <w:rFonts w:cs="Arial"/>
          <w:szCs w:val="20"/>
        </w:rPr>
        <w:t>is being used to decrease the incidence of chemotherapy-induced myelosuppression in adult patients prior to a platinum/etoposide-containing regimen or topotecan-containing regimen for extensive-stage small cell lung cancer</w:t>
      </w:r>
      <w:r>
        <w:rPr>
          <w:rFonts w:cs="Arial"/>
          <w:szCs w:val="20"/>
        </w:rPr>
        <w:t>.</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8C60FF" w:rsidRDefault="00904D7A" w:rsidP="008C60FF">
      <w:pPr>
        <w:pStyle w:val="ListParagraph"/>
        <w:numPr>
          <w:ilvl w:val="0"/>
          <w:numId w:val="18"/>
        </w:numPr>
      </w:pPr>
      <w:r w:rsidRPr="008C60FF">
        <w:t xml:space="preserve">Therapy will deny </w:t>
      </w:r>
      <w:proofErr w:type="gramStart"/>
      <w:r w:rsidRPr="008C60FF">
        <w:t>with</w:t>
      </w:r>
      <w:proofErr w:type="gramEnd"/>
      <w:r w:rsidRPr="008C60FF">
        <w:t xml:space="preserve"> presence of one of the following:</w:t>
      </w:r>
    </w:p>
    <w:p w14:paraId="1D97C1E5" w14:textId="3C35E48B" w:rsidR="00904D7A" w:rsidRPr="005328B2" w:rsidRDefault="00904D7A" w:rsidP="008C60FF">
      <w:pPr>
        <w:pStyle w:val="ListParagraph"/>
        <w:numPr>
          <w:ilvl w:val="0"/>
          <w:numId w:val="6"/>
        </w:numPr>
      </w:pPr>
      <w:proofErr w:type="gramStart"/>
      <w:r w:rsidRPr="005328B2">
        <w:t>Any</w:t>
      </w:r>
      <w:proofErr w:type="gramEnd"/>
      <w:r w:rsidRPr="005328B2">
        <w:t xml:space="preserve"> approval criteria </w:t>
      </w:r>
      <w:proofErr w:type="gramStart"/>
      <w:r w:rsidRPr="005328B2">
        <w:t>are not</w:t>
      </w:r>
      <w:proofErr w:type="gramEnd"/>
      <w:r w:rsidRPr="005328B2">
        <w:t xml:space="preserve"> met</w:t>
      </w:r>
      <w:r w:rsidR="006A18E1">
        <w:t>.</w:t>
      </w:r>
    </w:p>
    <w:p w14:paraId="4D21EAF1" w14:textId="77777777" w:rsidR="001E4CBA" w:rsidRPr="002C2C41" w:rsidRDefault="001E4CBA" w:rsidP="001C73B1">
      <w:pPr>
        <w:pStyle w:val="ListParagraph"/>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7E149EC3" w14:textId="3895E140" w:rsidR="00CD48ED" w:rsidRPr="00292666" w:rsidRDefault="00CD48ED" w:rsidP="00CD48ED">
      <w:pPr>
        <w:numPr>
          <w:ilvl w:val="0"/>
          <w:numId w:val="17"/>
        </w:numPr>
        <w:rPr>
          <w:rFonts w:cs="Arial"/>
          <w:szCs w:val="20"/>
        </w:rPr>
      </w:pPr>
      <w:r w:rsidRPr="00292666">
        <w:rPr>
          <w:rFonts w:cs="Arial"/>
          <w:szCs w:val="20"/>
        </w:rPr>
        <w:t xml:space="preserve">Evidence-Based Medicine and Fiscal Analysis: “Therapeutic Class Review: ORAL ONCOLOGY: Cyclin Dependent Kinase (CDK) 4/6 Inhibitors”, Gainwell Technologies; Last updated </w:t>
      </w:r>
      <w:r w:rsidR="0068035F">
        <w:rPr>
          <w:rFonts w:cs="Arial"/>
          <w:szCs w:val="20"/>
        </w:rPr>
        <w:t>July 2026</w:t>
      </w:r>
      <w:r w:rsidRPr="00292666">
        <w:rPr>
          <w:rFonts w:cs="Arial"/>
          <w:szCs w:val="20"/>
        </w:rPr>
        <w:t>.</w:t>
      </w:r>
    </w:p>
    <w:p w14:paraId="781B9779" w14:textId="0D8F6D29" w:rsidR="00CD48ED" w:rsidRPr="0087198E" w:rsidRDefault="00CD48ED" w:rsidP="00CD48ED">
      <w:pPr>
        <w:pStyle w:val="List2"/>
        <w:numPr>
          <w:ilvl w:val="0"/>
          <w:numId w:val="17"/>
        </w:numPr>
        <w:rPr>
          <w:rFonts w:cs="Arial"/>
          <w:szCs w:val="20"/>
        </w:rPr>
      </w:pPr>
      <w:r w:rsidRPr="0087198E">
        <w:rPr>
          <w:rFonts w:cs="Arial"/>
          <w:szCs w:val="20"/>
        </w:rPr>
        <w:t xml:space="preserve">Evidence-Based Medicine Analysis: “Systemic CDK4/6 Inhibitors”, UMKC-DIC; </w:t>
      </w:r>
      <w:r>
        <w:rPr>
          <w:rFonts w:cs="Arial"/>
          <w:szCs w:val="20"/>
        </w:rPr>
        <w:t>July</w:t>
      </w:r>
      <w:r w:rsidRPr="0087198E">
        <w:rPr>
          <w:rFonts w:cs="Arial"/>
          <w:szCs w:val="20"/>
        </w:rPr>
        <w:t xml:space="preserve"> 202</w:t>
      </w:r>
      <w:r w:rsidR="00700D96">
        <w:rPr>
          <w:rFonts w:cs="Arial"/>
          <w:szCs w:val="20"/>
        </w:rPr>
        <w:t>6</w:t>
      </w:r>
      <w:r w:rsidRPr="0087198E">
        <w:rPr>
          <w:rFonts w:cs="Arial"/>
          <w:szCs w:val="20"/>
        </w:rPr>
        <w:t>.</w:t>
      </w:r>
    </w:p>
    <w:p w14:paraId="558EF584" w14:textId="7B07C7F3" w:rsidR="00CD48ED" w:rsidRPr="00292666" w:rsidRDefault="00CD48ED" w:rsidP="00CD48ED">
      <w:pPr>
        <w:pStyle w:val="ListParagraph"/>
        <w:widowControl w:val="0"/>
        <w:numPr>
          <w:ilvl w:val="0"/>
          <w:numId w:val="17"/>
        </w:numPr>
        <w:tabs>
          <w:tab w:val="left" w:pos="360"/>
          <w:tab w:val="left" w:pos="1794"/>
          <w:tab w:val="left" w:pos="3530"/>
          <w:tab w:val="left" w:pos="4842"/>
          <w:tab w:val="left" w:pos="5580"/>
          <w:tab w:val="left" w:pos="6784"/>
          <w:tab w:val="left" w:pos="7959"/>
          <w:tab w:val="left" w:pos="9000"/>
        </w:tabs>
        <w:autoSpaceDE w:val="0"/>
        <w:autoSpaceDN w:val="0"/>
        <w:ind w:right="359"/>
        <w:rPr>
          <w:rFonts w:eastAsia="Arial" w:cs="Arial"/>
          <w:szCs w:val="20"/>
          <w:lang w:bidi="en-US"/>
        </w:rPr>
      </w:pPr>
      <w:r w:rsidRPr="00292666">
        <w:rPr>
          <w:rFonts w:eastAsia="Arial" w:cs="Arial"/>
          <w:szCs w:val="20"/>
          <w:lang w:bidi="en-US"/>
        </w:rPr>
        <w:t>National Comprehensive Cancer Network (NCCN). NCCN Clinical Practice Guidelines in Oncology (NCCN Guidelines</w:t>
      </w:r>
      <w:r w:rsidRPr="00292666">
        <w:rPr>
          <w:rFonts w:eastAsia="Arial" w:cs="Arial"/>
          <w:szCs w:val="20"/>
          <w:vertAlign w:val="superscript"/>
          <w:lang w:bidi="en-US"/>
        </w:rPr>
        <w:t>®</w:t>
      </w:r>
      <w:r w:rsidRPr="00292666">
        <w:rPr>
          <w:rFonts w:eastAsia="Arial" w:cs="Arial"/>
          <w:szCs w:val="20"/>
          <w:lang w:bidi="en-US"/>
        </w:rPr>
        <w:t xml:space="preserve">). Breast Cancer. Version </w:t>
      </w:r>
      <w:r w:rsidR="00B175CE">
        <w:rPr>
          <w:rFonts w:eastAsia="Arial" w:cs="Arial"/>
          <w:szCs w:val="20"/>
          <w:lang w:bidi="en-US"/>
        </w:rPr>
        <w:t>6</w:t>
      </w:r>
      <w:r w:rsidRPr="00292666">
        <w:rPr>
          <w:rFonts w:eastAsia="Arial" w:cs="Arial"/>
          <w:szCs w:val="20"/>
          <w:lang w:bidi="en-US"/>
        </w:rPr>
        <w:t>.202</w:t>
      </w:r>
      <w:r w:rsidR="00B175CE">
        <w:rPr>
          <w:rFonts w:eastAsia="Arial" w:cs="Arial"/>
          <w:szCs w:val="20"/>
          <w:lang w:bidi="en-US"/>
        </w:rPr>
        <w:t>6</w:t>
      </w:r>
      <w:r w:rsidRPr="00292666">
        <w:rPr>
          <w:rFonts w:eastAsia="Arial" w:cs="Arial"/>
          <w:szCs w:val="20"/>
          <w:lang w:bidi="en-US"/>
        </w:rPr>
        <w:t xml:space="preserve"> – </w:t>
      </w:r>
      <w:r>
        <w:rPr>
          <w:rFonts w:eastAsia="Arial" w:cs="Arial"/>
          <w:szCs w:val="20"/>
          <w:lang w:bidi="en-US"/>
        </w:rPr>
        <w:t>August 2</w:t>
      </w:r>
      <w:r w:rsidR="00B175CE">
        <w:rPr>
          <w:rFonts w:eastAsia="Arial" w:cs="Arial"/>
          <w:szCs w:val="20"/>
          <w:lang w:bidi="en-US"/>
        </w:rPr>
        <w:t>7</w:t>
      </w:r>
      <w:r w:rsidRPr="00292666">
        <w:rPr>
          <w:rFonts w:eastAsia="Arial" w:cs="Arial"/>
          <w:szCs w:val="20"/>
          <w:lang w:bidi="en-US"/>
        </w:rPr>
        <w:t>, 202</w:t>
      </w:r>
      <w:r w:rsidR="00B175CE">
        <w:rPr>
          <w:rFonts w:eastAsia="Arial" w:cs="Arial"/>
          <w:szCs w:val="20"/>
          <w:lang w:bidi="en-US"/>
        </w:rPr>
        <w:t>6</w:t>
      </w:r>
      <w:r w:rsidRPr="00292666">
        <w:rPr>
          <w:rFonts w:eastAsia="Arial" w:cs="Arial"/>
          <w:szCs w:val="20"/>
          <w:lang w:bidi="en-US"/>
        </w:rPr>
        <w:t xml:space="preserve">. </w:t>
      </w:r>
      <w:hyperlink r:id="rId11" w:history="1">
        <w:r w:rsidRPr="00292666">
          <w:rPr>
            <w:rFonts w:eastAsia="Arial" w:cs="Arial"/>
            <w:szCs w:val="20"/>
            <w:lang w:bidi="en-US"/>
          </w:rPr>
          <w:t>https://www.nccn.org/</w:t>
        </w:r>
      </w:hyperlink>
    </w:p>
    <w:p w14:paraId="686DACD5" w14:textId="56D541DB" w:rsidR="00CD48ED" w:rsidRPr="000D0842" w:rsidRDefault="00CD48ED" w:rsidP="00CD48ED">
      <w:pPr>
        <w:pStyle w:val="ListParagraph"/>
        <w:widowControl w:val="0"/>
        <w:numPr>
          <w:ilvl w:val="0"/>
          <w:numId w:val="17"/>
        </w:numPr>
        <w:tabs>
          <w:tab w:val="left" w:pos="360"/>
          <w:tab w:val="left" w:pos="1794"/>
          <w:tab w:val="left" w:pos="3530"/>
          <w:tab w:val="left" w:pos="4842"/>
          <w:tab w:val="left" w:pos="5580"/>
          <w:tab w:val="left" w:pos="6784"/>
          <w:tab w:val="left" w:pos="7959"/>
          <w:tab w:val="left" w:pos="8911"/>
        </w:tabs>
        <w:autoSpaceDE w:val="0"/>
        <w:autoSpaceDN w:val="0"/>
        <w:ind w:right="359"/>
        <w:rPr>
          <w:rFonts w:eastAsia="Arial" w:cs="Arial"/>
          <w:szCs w:val="20"/>
          <w:lang w:bidi="en-US"/>
        </w:rPr>
      </w:pPr>
      <w:r w:rsidRPr="000D0842">
        <w:rPr>
          <w:rFonts w:cs="Arial"/>
          <w:szCs w:val="20"/>
        </w:rPr>
        <w:t>USPDI, Micromedex; 202</w:t>
      </w:r>
      <w:r w:rsidR="001E2F1A">
        <w:rPr>
          <w:rFonts w:cs="Arial"/>
          <w:szCs w:val="20"/>
        </w:rPr>
        <w:t>6</w:t>
      </w:r>
      <w:r w:rsidRPr="000D0842">
        <w:rPr>
          <w:rFonts w:cs="Arial"/>
          <w:szCs w:val="20"/>
        </w:rPr>
        <w:t>.</w:t>
      </w:r>
    </w:p>
    <w:p w14:paraId="3FA1E7DB" w14:textId="63C97174" w:rsidR="00777CA4" w:rsidRPr="00CD48ED" w:rsidRDefault="00CD48ED" w:rsidP="00CD48ED">
      <w:pPr>
        <w:pStyle w:val="ListParagraph"/>
        <w:widowControl w:val="0"/>
        <w:numPr>
          <w:ilvl w:val="0"/>
          <w:numId w:val="17"/>
        </w:numPr>
        <w:tabs>
          <w:tab w:val="left" w:pos="360"/>
          <w:tab w:val="left" w:pos="1794"/>
          <w:tab w:val="left" w:pos="3530"/>
          <w:tab w:val="left" w:pos="4842"/>
          <w:tab w:val="left" w:pos="5580"/>
          <w:tab w:val="left" w:pos="6784"/>
          <w:tab w:val="left" w:pos="7959"/>
          <w:tab w:val="left" w:pos="8911"/>
        </w:tabs>
        <w:autoSpaceDE w:val="0"/>
        <w:autoSpaceDN w:val="0"/>
        <w:ind w:right="359"/>
        <w:rPr>
          <w:rFonts w:eastAsia="Arial" w:cs="Arial"/>
          <w:szCs w:val="20"/>
          <w:lang w:bidi="en-US"/>
        </w:rPr>
      </w:pPr>
      <w:r w:rsidRPr="000D0842">
        <w:rPr>
          <w:rFonts w:cs="Arial"/>
          <w:szCs w:val="20"/>
        </w:rPr>
        <w:t>Drug Facts and Comparisons On-line; 202</w:t>
      </w:r>
      <w:r w:rsidR="001E2F1A">
        <w:rPr>
          <w:rFonts w:cs="Arial"/>
          <w:szCs w:val="20"/>
        </w:rPr>
        <w:t>6</w:t>
      </w:r>
      <w:r>
        <w:rPr>
          <w:rFonts w:cs="Arial"/>
          <w:szCs w:val="20"/>
        </w:rPr>
        <w:t>.</w:t>
      </w:r>
    </w:p>
    <w:sectPr w:rsidR="00777CA4" w:rsidRPr="00CD48ED" w:rsidSect="00AB0B9F">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B9FD6" w14:textId="77777777" w:rsidR="00A163FC" w:rsidRPr="00C02553" w:rsidRDefault="00A163FC" w:rsidP="00AE77DB">
      <w:r w:rsidRPr="00C02553">
        <w:separator/>
      </w:r>
    </w:p>
  </w:endnote>
  <w:endnote w:type="continuationSeparator" w:id="0">
    <w:p w14:paraId="285C47FA" w14:textId="77777777" w:rsidR="00A163FC" w:rsidRPr="00C02553" w:rsidRDefault="00A163FC" w:rsidP="00AE77DB">
      <w:r w:rsidRPr="00C02553">
        <w:continuationSeparator/>
      </w:r>
    </w:p>
  </w:endnote>
  <w:endnote w:type="continuationNotice" w:id="1">
    <w:p w14:paraId="3D5CFD61" w14:textId="77777777" w:rsidR="00A163FC" w:rsidRPr="00C02553" w:rsidRDefault="00A163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6E2C4E2E" w:rsidR="00811A70" w:rsidRPr="00C02553" w:rsidRDefault="00811A70" w:rsidP="00811A70">
    <w:pPr>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18DF442D" w:rsidR="005058CB" w:rsidRPr="00C02553" w:rsidRDefault="005058CB" w:rsidP="005058CB">
    <w:pPr>
      <w:jc w:val="both"/>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C3F83" w14:textId="77777777" w:rsidR="00A163FC" w:rsidRPr="00C02553" w:rsidRDefault="00A163FC" w:rsidP="00AE77DB">
      <w:r w:rsidRPr="00C02553">
        <w:separator/>
      </w:r>
    </w:p>
  </w:footnote>
  <w:footnote w:type="continuationSeparator" w:id="0">
    <w:p w14:paraId="367EFCA2" w14:textId="77777777" w:rsidR="00A163FC" w:rsidRPr="00C02553" w:rsidRDefault="00A163FC" w:rsidP="00AE77DB">
      <w:r w:rsidRPr="00C02553">
        <w:continuationSeparator/>
      </w:r>
    </w:p>
  </w:footnote>
  <w:footnote w:type="continuationNotice" w:id="1">
    <w:p w14:paraId="08D8EBD4" w14:textId="77777777" w:rsidR="00A163FC" w:rsidRPr="00C02553" w:rsidRDefault="00A163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546F182D" w:rsidR="00006A61" w:rsidRPr="00C02553" w:rsidRDefault="009D682E">
    <w:pPr>
      <w:pStyle w:val="Header"/>
      <w:framePr w:wrap="around" w:vAnchor="text" w:hAnchor="margin" w:xAlign="right" w:y="1"/>
      <w:rPr>
        <w:rStyle w:val="PageNumber"/>
        <w:rFonts w:ascii="Times New Roman" w:hAnsi="Times New Roman"/>
      </w:rPr>
    </w:pPr>
    <w:r>
      <w:rPr>
        <w:noProof/>
      </w:rPr>
      <w:pict w14:anchorId="31E5B5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522157" o:spid="_x0000_s1026"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33BB0BE6" w:rsidR="00596936" w:rsidRDefault="009D682E">
    <w:pPr>
      <w:pStyle w:val="Header"/>
    </w:pPr>
    <w:r>
      <w:rPr>
        <w:noProof/>
      </w:rPr>
      <w:pict w14:anchorId="38C334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522158" o:spid="_x0000_s1027"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6EB84F1A" w:rsidR="00006A61" w:rsidRPr="00C02553" w:rsidRDefault="009D682E">
    <w:pPr>
      <w:pStyle w:val="Header"/>
      <w:rPr>
        <w:rFonts w:ascii="Times New Roman" w:hAnsi="Times New Roman"/>
      </w:rPr>
    </w:pPr>
    <w:r>
      <w:rPr>
        <w:noProof/>
      </w:rPr>
      <w:pict w14:anchorId="3571ED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522156" o:spid="_x0000_s1025" type="#_x0000_t136" style="position:absolute;margin-left:0;margin-top:0;width:471.3pt;height:188.5pt;rotation:315;z-index:-25165824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5F167CE"/>
    <w:multiLevelType w:val="hybridMultilevel"/>
    <w:tmpl w:val="6CF8C0EC"/>
    <w:lvl w:ilvl="0" w:tplc="B986C674">
      <w:start w:val="1"/>
      <w:numFmt w:val="bullet"/>
      <w:lvlText w:val=""/>
      <w:lvlJc w:val="left"/>
      <w:pPr>
        <w:tabs>
          <w:tab w:val="num" w:pos="360"/>
        </w:tabs>
        <w:ind w:left="288" w:hanging="288"/>
      </w:pPr>
      <w:rPr>
        <w:rFonts w:ascii="Symbol" w:hAnsi="Symbol" w:hint="default"/>
        <w:color w:val="auto"/>
      </w:rPr>
    </w:lvl>
    <w:lvl w:ilvl="1" w:tplc="04090003">
      <w:start w:val="1"/>
      <w:numFmt w:val="bullet"/>
      <w:lvlText w:val="o"/>
      <w:lvlJc w:val="left"/>
      <w:pPr>
        <w:tabs>
          <w:tab w:val="num" w:pos="630"/>
        </w:tabs>
        <w:ind w:left="630" w:hanging="360"/>
      </w:pPr>
      <w:rPr>
        <w:rFonts w:ascii="Courier New" w:hAnsi="Courier New" w:cs="Times New Roman" w:hint="default"/>
      </w:rPr>
    </w:lvl>
    <w:lvl w:ilvl="2" w:tplc="04090005">
      <w:start w:val="1"/>
      <w:numFmt w:val="bullet"/>
      <w:lvlText w:val=""/>
      <w:lvlJc w:val="left"/>
      <w:pPr>
        <w:tabs>
          <w:tab w:val="num" w:pos="990"/>
        </w:tabs>
        <w:ind w:left="99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112A3E"/>
    <w:multiLevelType w:val="multilevel"/>
    <w:tmpl w:val="6A06C30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F4035F1"/>
    <w:multiLevelType w:val="hybridMultilevel"/>
    <w:tmpl w:val="153A9B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7F5E1F0B"/>
    <w:multiLevelType w:val="hybridMultilevel"/>
    <w:tmpl w:val="2FAE97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4"/>
  </w:num>
  <w:num w:numId="13" w16cid:durableId="604729665">
    <w:abstractNumId w:val="6"/>
  </w:num>
  <w:num w:numId="14" w16cid:durableId="1805081292">
    <w:abstractNumId w:val="12"/>
  </w:num>
  <w:num w:numId="15" w16cid:durableId="723600171">
    <w:abstractNumId w:val="10"/>
  </w:num>
  <w:num w:numId="16" w16cid:durableId="1889762675">
    <w:abstractNumId w:val="5"/>
  </w:num>
  <w:num w:numId="17" w16cid:durableId="336229319">
    <w:abstractNumId w:val="15"/>
  </w:num>
  <w:num w:numId="18" w16cid:durableId="1318531825">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eJl/Aiindtlj08JX5iXGfBZRj+lQB0zHaarzo0xmqy+hR1gpKzSCJ+TcmHIgy85D1q4OuRq8BVpCFQoRXvUasA==" w:salt="AaR/PscxRaLbtXtNPaHid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105A9"/>
    <w:rsid w:val="000276D9"/>
    <w:rsid w:val="00040AD3"/>
    <w:rsid w:val="00053807"/>
    <w:rsid w:val="000572E5"/>
    <w:rsid w:val="00061541"/>
    <w:rsid w:val="00064162"/>
    <w:rsid w:val="00065C22"/>
    <w:rsid w:val="00072112"/>
    <w:rsid w:val="00074464"/>
    <w:rsid w:val="00076030"/>
    <w:rsid w:val="00082590"/>
    <w:rsid w:val="000913C3"/>
    <w:rsid w:val="00094A34"/>
    <w:rsid w:val="000953B9"/>
    <w:rsid w:val="000A413B"/>
    <w:rsid w:val="000A6279"/>
    <w:rsid w:val="000B496B"/>
    <w:rsid w:val="000C3940"/>
    <w:rsid w:val="000C47F3"/>
    <w:rsid w:val="000C56A3"/>
    <w:rsid w:val="000C5992"/>
    <w:rsid w:val="000C7214"/>
    <w:rsid w:val="000D6D48"/>
    <w:rsid w:val="000E1479"/>
    <w:rsid w:val="000E231E"/>
    <w:rsid w:val="000E247D"/>
    <w:rsid w:val="000E6B14"/>
    <w:rsid w:val="000E70D8"/>
    <w:rsid w:val="000F1BEE"/>
    <w:rsid w:val="001032CC"/>
    <w:rsid w:val="001062F6"/>
    <w:rsid w:val="00112FC7"/>
    <w:rsid w:val="00125F5F"/>
    <w:rsid w:val="00125FD9"/>
    <w:rsid w:val="00126951"/>
    <w:rsid w:val="00126B60"/>
    <w:rsid w:val="00127EF6"/>
    <w:rsid w:val="001310AD"/>
    <w:rsid w:val="001314A5"/>
    <w:rsid w:val="00132C7F"/>
    <w:rsid w:val="00144DBE"/>
    <w:rsid w:val="00152C8B"/>
    <w:rsid w:val="0015636A"/>
    <w:rsid w:val="0016438E"/>
    <w:rsid w:val="00172053"/>
    <w:rsid w:val="00177A80"/>
    <w:rsid w:val="001A275F"/>
    <w:rsid w:val="001A50CB"/>
    <w:rsid w:val="001A74B7"/>
    <w:rsid w:val="001B1573"/>
    <w:rsid w:val="001B2D47"/>
    <w:rsid w:val="001B6643"/>
    <w:rsid w:val="001B664F"/>
    <w:rsid w:val="001C0250"/>
    <w:rsid w:val="001C6DA4"/>
    <w:rsid w:val="001C73B1"/>
    <w:rsid w:val="001D1E7D"/>
    <w:rsid w:val="001D6567"/>
    <w:rsid w:val="001E2CCB"/>
    <w:rsid w:val="001E2F1A"/>
    <w:rsid w:val="001E4CBA"/>
    <w:rsid w:val="001E523C"/>
    <w:rsid w:val="001E61DF"/>
    <w:rsid w:val="001F2179"/>
    <w:rsid w:val="001F2B9F"/>
    <w:rsid w:val="001F5954"/>
    <w:rsid w:val="00202DD3"/>
    <w:rsid w:val="00206E7D"/>
    <w:rsid w:val="00207F3B"/>
    <w:rsid w:val="00217E14"/>
    <w:rsid w:val="00217EFD"/>
    <w:rsid w:val="00222134"/>
    <w:rsid w:val="0022233F"/>
    <w:rsid w:val="00226275"/>
    <w:rsid w:val="0023065C"/>
    <w:rsid w:val="00236275"/>
    <w:rsid w:val="00246564"/>
    <w:rsid w:val="00246A3B"/>
    <w:rsid w:val="00255404"/>
    <w:rsid w:val="0025594F"/>
    <w:rsid w:val="00270C5E"/>
    <w:rsid w:val="00290A03"/>
    <w:rsid w:val="0029159A"/>
    <w:rsid w:val="00291600"/>
    <w:rsid w:val="002963D4"/>
    <w:rsid w:val="002A02F4"/>
    <w:rsid w:val="002C2C41"/>
    <w:rsid w:val="002C62E7"/>
    <w:rsid w:val="002C7EE7"/>
    <w:rsid w:val="002D6F28"/>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3655F"/>
    <w:rsid w:val="00343D6B"/>
    <w:rsid w:val="00345068"/>
    <w:rsid w:val="00347FB5"/>
    <w:rsid w:val="00355515"/>
    <w:rsid w:val="003608B5"/>
    <w:rsid w:val="003613AF"/>
    <w:rsid w:val="00377AF9"/>
    <w:rsid w:val="003878C1"/>
    <w:rsid w:val="00396C0B"/>
    <w:rsid w:val="003A116E"/>
    <w:rsid w:val="003A630F"/>
    <w:rsid w:val="003B3958"/>
    <w:rsid w:val="003B4820"/>
    <w:rsid w:val="003B5F4B"/>
    <w:rsid w:val="003B682F"/>
    <w:rsid w:val="003C53FC"/>
    <w:rsid w:val="003C7013"/>
    <w:rsid w:val="003D641B"/>
    <w:rsid w:val="003E02AF"/>
    <w:rsid w:val="003E59E1"/>
    <w:rsid w:val="003F227C"/>
    <w:rsid w:val="003F6981"/>
    <w:rsid w:val="004023CC"/>
    <w:rsid w:val="00407564"/>
    <w:rsid w:val="00411152"/>
    <w:rsid w:val="004156AA"/>
    <w:rsid w:val="004253A1"/>
    <w:rsid w:val="004313B6"/>
    <w:rsid w:val="00433339"/>
    <w:rsid w:val="00435A1E"/>
    <w:rsid w:val="004364D2"/>
    <w:rsid w:val="00446BBC"/>
    <w:rsid w:val="004472C0"/>
    <w:rsid w:val="00450705"/>
    <w:rsid w:val="00451928"/>
    <w:rsid w:val="0046618B"/>
    <w:rsid w:val="0048608C"/>
    <w:rsid w:val="00496E57"/>
    <w:rsid w:val="004B3E10"/>
    <w:rsid w:val="004C0F5D"/>
    <w:rsid w:val="004C375A"/>
    <w:rsid w:val="004C4954"/>
    <w:rsid w:val="004C5767"/>
    <w:rsid w:val="004C737F"/>
    <w:rsid w:val="004D5322"/>
    <w:rsid w:val="004D78B0"/>
    <w:rsid w:val="004E611F"/>
    <w:rsid w:val="004F2A79"/>
    <w:rsid w:val="004F4D37"/>
    <w:rsid w:val="005011B7"/>
    <w:rsid w:val="00501A14"/>
    <w:rsid w:val="00501DE3"/>
    <w:rsid w:val="005058CB"/>
    <w:rsid w:val="0051044D"/>
    <w:rsid w:val="005139E4"/>
    <w:rsid w:val="00515075"/>
    <w:rsid w:val="00520FE9"/>
    <w:rsid w:val="005233E7"/>
    <w:rsid w:val="005328B2"/>
    <w:rsid w:val="00535BD5"/>
    <w:rsid w:val="00540977"/>
    <w:rsid w:val="00551668"/>
    <w:rsid w:val="005572D5"/>
    <w:rsid w:val="00566BE4"/>
    <w:rsid w:val="0057011C"/>
    <w:rsid w:val="00570D21"/>
    <w:rsid w:val="00576113"/>
    <w:rsid w:val="0058515F"/>
    <w:rsid w:val="00590652"/>
    <w:rsid w:val="0059235F"/>
    <w:rsid w:val="00596936"/>
    <w:rsid w:val="005A2F1E"/>
    <w:rsid w:val="005A4232"/>
    <w:rsid w:val="005C3616"/>
    <w:rsid w:val="005D140B"/>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205AD"/>
    <w:rsid w:val="00620DE1"/>
    <w:rsid w:val="006215D6"/>
    <w:rsid w:val="00625C3A"/>
    <w:rsid w:val="006301E3"/>
    <w:rsid w:val="00635DDB"/>
    <w:rsid w:val="00636AF7"/>
    <w:rsid w:val="0064149A"/>
    <w:rsid w:val="006441D1"/>
    <w:rsid w:val="00645DD3"/>
    <w:rsid w:val="00646DFE"/>
    <w:rsid w:val="00650530"/>
    <w:rsid w:val="00650C96"/>
    <w:rsid w:val="00651F6C"/>
    <w:rsid w:val="00653788"/>
    <w:rsid w:val="0065477F"/>
    <w:rsid w:val="00656896"/>
    <w:rsid w:val="00661656"/>
    <w:rsid w:val="0067509F"/>
    <w:rsid w:val="00677C65"/>
    <w:rsid w:val="0068035F"/>
    <w:rsid w:val="006875AD"/>
    <w:rsid w:val="00693152"/>
    <w:rsid w:val="00694FAE"/>
    <w:rsid w:val="00696E3A"/>
    <w:rsid w:val="006A0834"/>
    <w:rsid w:val="006A18E1"/>
    <w:rsid w:val="006A4BBD"/>
    <w:rsid w:val="006A52F1"/>
    <w:rsid w:val="006B561D"/>
    <w:rsid w:val="006B6D5D"/>
    <w:rsid w:val="006C439E"/>
    <w:rsid w:val="006D2330"/>
    <w:rsid w:val="006E0F8B"/>
    <w:rsid w:val="006E12F7"/>
    <w:rsid w:val="00700D96"/>
    <w:rsid w:val="007068A4"/>
    <w:rsid w:val="00706D67"/>
    <w:rsid w:val="00713052"/>
    <w:rsid w:val="00721367"/>
    <w:rsid w:val="007231FA"/>
    <w:rsid w:val="00725B8F"/>
    <w:rsid w:val="00732C67"/>
    <w:rsid w:val="00734418"/>
    <w:rsid w:val="00750696"/>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C76DE"/>
    <w:rsid w:val="007D2920"/>
    <w:rsid w:val="007D42DD"/>
    <w:rsid w:val="007E6A37"/>
    <w:rsid w:val="007F1774"/>
    <w:rsid w:val="00811A70"/>
    <w:rsid w:val="0081406E"/>
    <w:rsid w:val="00832211"/>
    <w:rsid w:val="008325F4"/>
    <w:rsid w:val="00832AC8"/>
    <w:rsid w:val="00846FA4"/>
    <w:rsid w:val="008524BA"/>
    <w:rsid w:val="00852B74"/>
    <w:rsid w:val="00856928"/>
    <w:rsid w:val="00865538"/>
    <w:rsid w:val="00870875"/>
    <w:rsid w:val="008772B9"/>
    <w:rsid w:val="00881F47"/>
    <w:rsid w:val="0088225C"/>
    <w:rsid w:val="00884026"/>
    <w:rsid w:val="00884C78"/>
    <w:rsid w:val="008859E1"/>
    <w:rsid w:val="0089268A"/>
    <w:rsid w:val="00896264"/>
    <w:rsid w:val="008A5D88"/>
    <w:rsid w:val="008B2851"/>
    <w:rsid w:val="008C000E"/>
    <w:rsid w:val="008C0490"/>
    <w:rsid w:val="008C60FF"/>
    <w:rsid w:val="008D0F2F"/>
    <w:rsid w:val="008D237F"/>
    <w:rsid w:val="008D6B05"/>
    <w:rsid w:val="008E3DA3"/>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0CE"/>
    <w:rsid w:val="00991BF0"/>
    <w:rsid w:val="009A0FB1"/>
    <w:rsid w:val="009A1FAC"/>
    <w:rsid w:val="009B001A"/>
    <w:rsid w:val="009B1A62"/>
    <w:rsid w:val="009C1ADD"/>
    <w:rsid w:val="009C3CC7"/>
    <w:rsid w:val="009D2057"/>
    <w:rsid w:val="009D3D6C"/>
    <w:rsid w:val="009D5551"/>
    <w:rsid w:val="009D62DB"/>
    <w:rsid w:val="009D682E"/>
    <w:rsid w:val="009E3B42"/>
    <w:rsid w:val="009F21BB"/>
    <w:rsid w:val="009F2CE3"/>
    <w:rsid w:val="00A05B60"/>
    <w:rsid w:val="00A07940"/>
    <w:rsid w:val="00A13266"/>
    <w:rsid w:val="00A14FA6"/>
    <w:rsid w:val="00A15D64"/>
    <w:rsid w:val="00A163FC"/>
    <w:rsid w:val="00A20575"/>
    <w:rsid w:val="00A32452"/>
    <w:rsid w:val="00A32BBF"/>
    <w:rsid w:val="00A37444"/>
    <w:rsid w:val="00A4281A"/>
    <w:rsid w:val="00A459CF"/>
    <w:rsid w:val="00A5014D"/>
    <w:rsid w:val="00A53E96"/>
    <w:rsid w:val="00A56F18"/>
    <w:rsid w:val="00A628F8"/>
    <w:rsid w:val="00A62BAA"/>
    <w:rsid w:val="00A66172"/>
    <w:rsid w:val="00A71A07"/>
    <w:rsid w:val="00A744C3"/>
    <w:rsid w:val="00A928F1"/>
    <w:rsid w:val="00AA14CF"/>
    <w:rsid w:val="00AA70AB"/>
    <w:rsid w:val="00AB0B9F"/>
    <w:rsid w:val="00AB1713"/>
    <w:rsid w:val="00AB63BE"/>
    <w:rsid w:val="00AC1EBC"/>
    <w:rsid w:val="00AC2599"/>
    <w:rsid w:val="00AC2DE9"/>
    <w:rsid w:val="00AC5DFB"/>
    <w:rsid w:val="00AD2C5F"/>
    <w:rsid w:val="00AE1481"/>
    <w:rsid w:val="00AE1F46"/>
    <w:rsid w:val="00AE27F9"/>
    <w:rsid w:val="00AE77DB"/>
    <w:rsid w:val="00AF7453"/>
    <w:rsid w:val="00B00FFF"/>
    <w:rsid w:val="00B06084"/>
    <w:rsid w:val="00B142B0"/>
    <w:rsid w:val="00B16735"/>
    <w:rsid w:val="00B175CE"/>
    <w:rsid w:val="00B17EDE"/>
    <w:rsid w:val="00B22585"/>
    <w:rsid w:val="00B33693"/>
    <w:rsid w:val="00B33A50"/>
    <w:rsid w:val="00B34C53"/>
    <w:rsid w:val="00B507A5"/>
    <w:rsid w:val="00B52475"/>
    <w:rsid w:val="00B535DA"/>
    <w:rsid w:val="00B5577A"/>
    <w:rsid w:val="00B56DCC"/>
    <w:rsid w:val="00B56F54"/>
    <w:rsid w:val="00B638C2"/>
    <w:rsid w:val="00B758AB"/>
    <w:rsid w:val="00B76277"/>
    <w:rsid w:val="00B772AB"/>
    <w:rsid w:val="00B80395"/>
    <w:rsid w:val="00B80B56"/>
    <w:rsid w:val="00B86372"/>
    <w:rsid w:val="00B9189A"/>
    <w:rsid w:val="00BA09B3"/>
    <w:rsid w:val="00BA1C17"/>
    <w:rsid w:val="00BA1D65"/>
    <w:rsid w:val="00BB3B4D"/>
    <w:rsid w:val="00BC351E"/>
    <w:rsid w:val="00BC3F77"/>
    <w:rsid w:val="00BC5635"/>
    <w:rsid w:val="00BC5675"/>
    <w:rsid w:val="00BD081C"/>
    <w:rsid w:val="00BD2096"/>
    <w:rsid w:val="00BD277B"/>
    <w:rsid w:val="00BD47CA"/>
    <w:rsid w:val="00BD62C7"/>
    <w:rsid w:val="00BE020D"/>
    <w:rsid w:val="00BE354A"/>
    <w:rsid w:val="00BE6FA0"/>
    <w:rsid w:val="00BF5EEF"/>
    <w:rsid w:val="00C02553"/>
    <w:rsid w:val="00C04EB6"/>
    <w:rsid w:val="00C056F9"/>
    <w:rsid w:val="00C1018C"/>
    <w:rsid w:val="00C1150E"/>
    <w:rsid w:val="00C14D52"/>
    <w:rsid w:val="00C2586C"/>
    <w:rsid w:val="00C26001"/>
    <w:rsid w:val="00C33156"/>
    <w:rsid w:val="00C34E72"/>
    <w:rsid w:val="00C56B1F"/>
    <w:rsid w:val="00C61B52"/>
    <w:rsid w:val="00C62745"/>
    <w:rsid w:val="00C654CA"/>
    <w:rsid w:val="00C763BD"/>
    <w:rsid w:val="00C779A8"/>
    <w:rsid w:val="00C82E19"/>
    <w:rsid w:val="00C84E0A"/>
    <w:rsid w:val="00C9465A"/>
    <w:rsid w:val="00C96873"/>
    <w:rsid w:val="00CA1735"/>
    <w:rsid w:val="00CA3C4B"/>
    <w:rsid w:val="00CA7252"/>
    <w:rsid w:val="00CB2C5A"/>
    <w:rsid w:val="00CC29B5"/>
    <w:rsid w:val="00CD48ED"/>
    <w:rsid w:val="00CE0C1C"/>
    <w:rsid w:val="00CE34AF"/>
    <w:rsid w:val="00CF00A4"/>
    <w:rsid w:val="00CF25FB"/>
    <w:rsid w:val="00CF614C"/>
    <w:rsid w:val="00D02F34"/>
    <w:rsid w:val="00D13D87"/>
    <w:rsid w:val="00D16590"/>
    <w:rsid w:val="00D20720"/>
    <w:rsid w:val="00D250D9"/>
    <w:rsid w:val="00D27533"/>
    <w:rsid w:val="00D42DA3"/>
    <w:rsid w:val="00D4546D"/>
    <w:rsid w:val="00D461B3"/>
    <w:rsid w:val="00D47996"/>
    <w:rsid w:val="00D61118"/>
    <w:rsid w:val="00D614F1"/>
    <w:rsid w:val="00D70D50"/>
    <w:rsid w:val="00D71917"/>
    <w:rsid w:val="00D7332C"/>
    <w:rsid w:val="00DA3A0F"/>
    <w:rsid w:val="00DA4E62"/>
    <w:rsid w:val="00DA6990"/>
    <w:rsid w:val="00DB27BA"/>
    <w:rsid w:val="00DB337A"/>
    <w:rsid w:val="00DC51CB"/>
    <w:rsid w:val="00DD4819"/>
    <w:rsid w:val="00DD4B8A"/>
    <w:rsid w:val="00DD5403"/>
    <w:rsid w:val="00DE1388"/>
    <w:rsid w:val="00DE2182"/>
    <w:rsid w:val="00DE7501"/>
    <w:rsid w:val="00DF3146"/>
    <w:rsid w:val="00DF57C3"/>
    <w:rsid w:val="00E008D9"/>
    <w:rsid w:val="00E02FE0"/>
    <w:rsid w:val="00E07ABE"/>
    <w:rsid w:val="00E113EC"/>
    <w:rsid w:val="00E11A3F"/>
    <w:rsid w:val="00E1386E"/>
    <w:rsid w:val="00E2369B"/>
    <w:rsid w:val="00E23EC0"/>
    <w:rsid w:val="00E354AA"/>
    <w:rsid w:val="00E43D54"/>
    <w:rsid w:val="00E442FB"/>
    <w:rsid w:val="00E529DB"/>
    <w:rsid w:val="00E53A5E"/>
    <w:rsid w:val="00E6466A"/>
    <w:rsid w:val="00E72221"/>
    <w:rsid w:val="00E8053A"/>
    <w:rsid w:val="00E83428"/>
    <w:rsid w:val="00E84C58"/>
    <w:rsid w:val="00E873A5"/>
    <w:rsid w:val="00E90D11"/>
    <w:rsid w:val="00E915E5"/>
    <w:rsid w:val="00EA1D44"/>
    <w:rsid w:val="00EB0367"/>
    <w:rsid w:val="00EB4FB9"/>
    <w:rsid w:val="00EB5BC8"/>
    <w:rsid w:val="00EB6EB7"/>
    <w:rsid w:val="00EC2738"/>
    <w:rsid w:val="00EC781A"/>
    <w:rsid w:val="00EC78D1"/>
    <w:rsid w:val="00ED7B42"/>
    <w:rsid w:val="00EE3EA5"/>
    <w:rsid w:val="00EE613F"/>
    <w:rsid w:val="00EE6BD1"/>
    <w:rsid w:val="00EF0262"/>
    <w:rsid w:val="00EF0677"/>
    <w:rsid w:val="00EF0828"/>
    <w:rsid w:val="00EF6F8B"/>
    <w:rsid w:val="00F03898"/>
    <w:rsid w:val="00F11A5D"/>
    <w:rsid w:val="00F1527A"/>
    <w:rsid w:val="00F2696B"/>
    <w:rsid w:val="00F27821"/>
    <w:rsid w:val="00F30110"/>
    <w:rsid w:val="00F4092A"/>
    <w:rsid w:val="00F41F69"/>
    <w:rsid w:val="00F43E41"/>
    <w:rsid w:val="00F4790C"/>
    <w:rsid w:val="00F50C4B"/>
    <w:rsid w:val="00F54C08"/>
    <w:rsid w:val="00F553A2"/>
    <w:rsid w:val="00F6068C"/>
    <w:rsid w:val="00F62F33"/>
    <w:rsid w:val="00F63A52"/>
    <w:rsid w:val="00F730BA"/>
    <w:rsid w:val="00F84288"/>
    <w:rsid w:val="00F903BE"/>
    <w:rsid w:val="00F95D04"/>
    <w:rsid w:val="00FA16EC"/>
    <w:rsid w:val="00FA2811"/>
    <w:rsid w:val="00FA4837"/>
    <w:rsid w:val="00FB1D33"/>
    <w:rsid w:val="00FB5E96"/>
    <w:rsid w:val="00FC05A0"/>
    <w:rsid w:val="00FC6758"/>
    <w:rsid w:val="00FD34EA"/>
    <w:rsid w:val="00FE0865"/>
    <w:rsid w:val="00FE3F3E"/>
    <w:rsid w:val="00FE4D52"/>
    <w:rsid w:val="00FE5AEE"/>
    <w:rsid w:val="00FF10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7D4B04AA-A592-4D21-9030-3E21C6CF8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1E2F1A"/>
    <w:rPr>
      <w:sz w:val="16"/>
      <w:szCs w:val="16"/>
    </w:rPr>
  </w:style>
  <w:style w:type="paragraph" w:styleId="CommentSubject">
    <w:name w:val="annotation subject"/>
    <w:basedOn w:val="CommentText"/>
    <w:next w:val="CommentText"/>
    <w:link w:val="CommentSubjectChar"/>
    <w:uiPriority w:val="99"/>
    <w:semiHidden/>
    <w:unhideWhenUsed/>
    <w:rsid w:val="001E2F1A"/>
    <w:rPr>
      <w:b/>
      <w:bCs/>
    </w:rPr>
  </w:style>
  <w:style w:type="character" w:customStyle="1" w:styleId="CommentTextChar">
    <w:name w:val="Comment Text Char"/>
    <w:basedOn w:val="DefaultParagraphFont"/>
    <w:link w:val="CommentText"/>
    <w:semiHidden/>
    <w:rsid w:val="001E2F1A"/>
    <w:rPr>
      <w:rFonts w:ascii="Arial" w:hAnsi="Arial"/>
    </w:rPr>
  </w:style>
  <w:style w:type="character" w:customStyle="1" w:styleId="CommentSubjectChar">
    <w:name w:val="Comment Subject Char"/>
    <w:basedOn w:val="CommentTextChar"/>
    <w:link w:val="CommentSubject"/>
    <w:uiPriority w:val="99"/>
    <w:semiHidden/>
    <w:rsid w:val="001E2F1A"/>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cn.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CDC2D900-A894-42CE-A441-B33E47F9A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992BC-7C11-4A83-A97F-D2E41AE80BFC}">
  <ds:schemaRefs>
    <ds:schemaRef ds:uri="http://www.w3.org/XML/1998/namespace"/>
    <ds:schemaRef ds:uri="http://schemas.openxmlformats.org/package/2006/metadata/core-properties"/>
    <ds:schemaRef ds:uri="http://purl.org/dc/dcmitype/"/>
    <ds:schemaRef ds:uri="http://schemas.microsoft.com/office/2006/metadata/properties"/>
    <ds:schemaRef ds:uri="http://purl.org/dc/elements/1.1/"/>
    <ds:schemaRef ds:uri="f5eefb00-5952-4f7e-8cf8-96f81cfadd01"/>
    <ds:schemaRef ds:uri="http://schemas.microsoft.com/office/infopath/2007/PartnerControls"/>
    <ds:schemaRef ds:uri="http://schemas.microsoft.com/office/2006/documentManagement/types"/>
    <ds:schemaRef ds:uri="aba01ddc-ae9a-4c9e-819c-7140b4239cde"/>
    <ds:schemaRef ds:uri="http://schemas.microsoft.com/sharepoint/v3"/>
    <ds:schemaRef ds:uri="http://purl.org/dc/te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92</TotalTime>
  <Pages>2</Pages>
  <Words>596</Words>
  <Characters>3653</Characters>
  <Application>Microsoft Office Word</Application>
  <DocSecurity>10</DocSecurity>
  <Lines>30</Lines>
  <Paragraphs>8</Paragraphs>
  <ScaleCrop>false</ScaleCrop>
  <HeadingPairs>
    <vt:vector size="2" baseType="variant">
      <vt:variant>
        <vt:lpstr>Title</vt:lpstr>
      </vt:variant>
      <vt:variant>
        <vt:i4>1</vt:i4>
      </vt:variant>
    </vt:vector>
  </HeadingPairs>
  <TitlesOfParts>
    <vt:vector size="1" baseType="lpstr">
      <vt:lpstr>CDK4/6 PDL</vt:lpstr>
    </vt:vector>
  </TitlesOfParts>
  <Company>DSS</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CDK4/6 PDL</dc:title>
  <dc:subject/>
  <dc:creator>DMS</dc:creator>
  <cp:keywords/>
  <cp:lastModifiedBy>Herzing, Jamie</cp:lastModifiedBy>
  <cp:revision>66</cp:revision>
  <cp:lastPrinted>2018-10-31T17:17:00Z</cp:lastPrinted>
  <dcterms:created xsi:type="dcterms:W3CDTF">2025-09-19T13:48:00Z</dcterms:created>
  <dcterms:modified xsi:type="dcterms:W3CDTF">2026-10-09T20:24:00Z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c8d208a3246bd6d715bef9326f83592b0b210e8fdfefc507cf18da6d2ef48948</vt:lpwstr>
  </property>
</Properties>
</file>