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2CBDCE79"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34532" w:rsidRPr="00834532">
        <w:rPr>
          <w:rFonts w:cs="Arial"/>
          <w:b w:val="0"/>
          <w:bCs/>
        </w:rPr>
        <w:t>Electrolyte Depleting Agents, Phosphate Lowering PDL Edit</w:t>
      </w:r>
    </w:p>
    <w:p w14:paraId="7AD7FFCE" w14:textId="1D77EC4B" w:rsidR="004C5767" w:rsidRPr="00C02553" w:rsidRDefault="004C5767" w:rsidP="00D27533">
      <w:pPr>
        <w:pStyle w:val="tbody"/>
      </w:pPr>
      <w:r w:rsidRPr="00C02553">
        <w:t xml:space="preserve">First Implementation Date: </w:t>
      </w:r>
      <w:r w:rsidR="00685078" w:rsidRPr="00685078">
        <w:rPr>
          <w:rFonts w:cs="Arial"/>
          <w:b w:val="0"/>
          <w:bCs/>
          <w:spacing w:val="-3"/>
        </w:rPr>
        <w:t>January 14, 2009</w:t>
      </w:r>
    </w:p>
    <w:p w14:paraId="4B7D760D" w14:textId="3B360B96" w:rsidR="004C5767" w:rsidRPr="00D27533" w:rsidRDefault="00AE3035"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71B3BEE" w:rsidR="004C5767" w:rsidRPr="00D27533" w:rsidRDefault="004C5767" w:rsidP="00D27533">
      <w:pPr>
        <w:pStyle w:val="tbody"/>
        <w:rPr>
          <w:b w:val="0"/>
          <w:bCs/>
          <w:spacing w:val="-3"/>
        </w:rPr>
      </w:pPr>
      <w:r w:rsidRPr="00C02553">
        <w:t xml:space="preserve">Criteria Status: </w:t>
      </w:r>
      <w:r w:rsidR="001C4621">
        <w:rPr>
          <w:b w:val="0"/>
          <w:bCs/>
        </w:rPr>
        <w:t xml:space="preserve">Revision of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3BBD363" w14:textId="77777777" w:rsidR="00513E56" w:rsidRDefault="00513E56" w:rsidP="00513E56">
      <w:pPr>
        <w:rPr>
          <w:rFonts w:cs="Arial"/>
          <w:spacing w:val="-3"/>
        </w:rPr>
      </w:pPr>
      <w:r w:rsidRPr="002D7E94">
        <w:rPr>
          <w:rFonts w:cs="Arial"/>
          <w:spacing w:val="-3"/>
        </w:rPr>
        <w:t>Chronic kidney disease occurs in approximately 20 million Americans. One of the complications of this disease is hyperphosphatemia. As the kidney loses function, its ability to eliminate phosphorus declines, which results in hyperphosphatemia. Phosphorus is responsible for growth, maintenance, and repair of body tissues, and along with calcium</w:t>
      </w:r>
      <w:r>
        <w:rPr>
          <w:rFonts w:cs="Arial"/>
          <w:spacing w:val="-3"/>
        </w:rPr>
        <w:t>,</w:t>
      </w:r>
      <w:r w:rsidRPr="002D7E94">
        <w:rPr>
          <w:rFonts w:cs="Arial"/>
          <w:spacing w:val="-3"/>
        </w:rPr>
        <w:t xml:space="preserve"> prevents bone-related disorders. Phosphorus is commonly found in foods such as milk, red meat, fish, poultry, eggs, and peanuts.  </w:t>
      </w:r>
      <w:r>
        <w:rPr>
          <w:rFonts w:cs="Arial"/>
          <w:spacing w:val="-3"/>
        </w:rPr>
        <w:t xml:space="preserve">Due to </w:t>
      </w:r>
      <w:r w:rsidRPr="002D7E94">
        <w:rPr>
          <w:rFonts w:cs="Arial"/>
          <w:spacing w:val="-3"/>
        </w:rPr>
        <w:t xml:space="preserve">continuous dietary intake, unfortunately, dialysis alone does not maintain normal phosphorus levels in the blood for end stage renal disease </w:t>
      </w:r>
      <w:r>
        <w:rPr>
          <w:rFonts w:cs="Arial"/>
          <w:spacing w:val="-3"/>
        </w:rPr>
        <w:t>participant</w:t>
      </w:r>
      <w:r w:rsidRPr="002D7E94">
        <w:rPr>
          <w:rFonts w:cs="Arial"/>
          <w:spacing w:val="-3"/>
        </w:rPr>
        <w:t xml:space="preserve">s. Phosphate-binding agents decrease phosphorus absorption from the </w:t>
      </w:r>
      <w:r>
        <w:rPr>
          <w:rFonts w:cs="Arial"/>
          <w:spacing w:val="-3"/>
        </w:rPr>
        <w:t>gastrointestinal</w:t>
      </w:r>
      <w:r w:rsidRPr="002D7E94">
        <w:rPr>
          <w:rFonts w:cs="Arial"/>
          <w:spacing w:val="-3"/>
        </w:rPr>
        <w:t xml:space="preserve"> tract by binding dietary phosphorus. Calcium containing salts not only maintain positive calcium </w:t>
      </w:r>
      <w:r w:rsidRPr="002D7E94">
        <w:rPr>
          <w:rFonts w:cs="Arial"/>
          <w:noProof/>
          <w:spacing w:val="-3"/>
        </w:rPr>
        <w:t>balance</w:t>
      </w:r>
      <w:r w:rsidRPr="002D7E94">
        <w:rPr>
          <w:rFonts w:cs="Arial"/>
          <w:spacing w:val="-3"/>
        </w:rPr>
        <w:t xml:space="preserve"> but also bind phosphorus. In the event of hypocalcemia, calcium supplementation or vitamin D may be necessary to slow or prevent bone disease. Non-calcium based phosphate binders are now available and are an alternative to calcium when hypercalcemia is present.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3D695BF2" w14:textId="77777777" w:rsidR="003932B1" w:rsidRPr="003932B1" w:rsidRDefault="003932B1" w:rsidP="003932B1">
      <w:pPr>
        <w:pStyle w:val="paragraph"/>
        <w:numPr>
          <w:ilvl w:val="0"/>
          <w:numId w:val="15"/>
        </w:numPr>
        <w:spacing w:before="0" w:beforeAutospacing="0" w:after="0" w:afterAutospacing="0"/>
        <w:textAlignment w:val="baseline"/>
        <w:rPr>
          <w:rFonts w:cs="Arial"/>
          <w:szCs w:val="20"/>
        </w:rPr>
      </w:pPr>
      <w:r w:rsidRPr="003932B1">
        <w:rPr>
          <w:rFonts w:cs="Arial"/>
          <w:szCs w:val="20"/>
        </w:rPr>
        <w:t>Calcium Acetate Caps</w:t>
      </w:r>
    </w:p>
    <w:p w14:paraId="47320590" w14:textId="5274FFEB" w:rsidR="00FD34EA" w:rsidRPr="003932B1" w:rsidRDefault="003932B1" w:rsidP="6F821E24">
      <w:pPr>
        <w:pStyle w:val="paragraph"/>
        <w:numPr>
          <w:ilvl w:val="0"/>
          <w:numId w:val="15"/>
        </w:numPr>
        <w:spacing w:before="0" w:beforeAutospacing="0" w:after="0" w:afterAutospacing="0"/>
        <w:textAlignment w:val="baseline"/>
        <w:rPr>
          <w:rFonts w:cs="Arial"/>
        </w:rPr>
      </w:pPr>
      <w:r w:rsidRPr="6F821E24">
        <w:rPr>
          <w:rFonts w:cs="Arial"/>
        </w:rPr>
        <w:t>Sevelamer Carbonate Tabs (gen Renvela)</w:t>
      </w:r>
    </w:p>
    <w:p w14:paraId="2AE07DAB" w14:textId="77777777" w:rsidR="003932B1" w:rsidRPr="003932B1" w:rsidRDefault="003932B1" w:rsidP="003932B1">
      <w:pPr>
        <w:pStyle w:val="paragraph"/>
        <w:spacing w:before="0" w:beforeAutospacing="0" w:after="0" w:afterAutospacing="0"/>
        <w:ind w:left="360"/>
        <w:textAlignment w:val="baseline"/>
        <w:rPr>
          <w:rFonts w:cs="Arial"/>
          <w:b/>
          <w:bCs/>
          <w:szCs w:val="20"/>
        </w:rPr>
      </w:pPr>
    </w:p>
    <w:p w14:paraId="56404718" w14:textId="252714AD" w:rsidR="00846FA4" w:rsidRDefault="00846FA4" w:rsidP="00846FA4">
      <w:pPr>
        <w:rPr>
          <w:b/>
          <w:bCs/>
        </w:rPr>
      </w:pPr>
      <w:r>
        <w:rPr>
          <w:b/>
          <w:bCs/>
        </w:rPr>
        <w:t>Non-Preferred Agents:</w:t>
      </w:r>
    </w:p>
    <w:p w14:paraId="4B35E595" w14:textId="77777777" w:rsidR="00642CD9" w:rsidRPr="00200A0C" w:rsidRDefault="00642CD9" w:rsidP="6F821E24">
      <w:pPr>
        <w:pStyle w:val="paragraph"/>
        <w:numPr>
          <w:ilvl w:val="0"/>
          <w:numId w:val="15"/>
        </w:numPr>
        <w:spacing w:before="0" w:beforeAutospacing="0" w:after="0" w:afterAutospacing="0"/>
        <w:textAlignment w:val="baseline"/>
        <w:rPr>
          <w:rFonts w:cs="Arial"/>
          <w:spacing w:val="-3"/>
          <w:vertAlign w:val="superscript"/>
        </w:rPr>
      </w:pPr>
      <w:r w:rsidRPr="6F821E24">
        <w:rPr>
          <w:rFonts w:cs="Arial"/>
          <w:spacing w:val="-3"/>
        </w:rPr>
        <w:t>Auryxia</w:t>
      </w:r>
    </w:p>
    <w:p w14:paraId="6DB55F57" w14:textId="77777777" w:rsidR="00642CD9" w:rsidRPr="00200A0C" w:rsidRDefault="00642CD9" w:rsidP="00642CD9">
      <w:pPr>
        <w:pStyle w:val="paragraph"/>
        <w:numPr>
          <w:ilvl w:val="0"/>
          <w:numId w:val="15"/>
        </w:numPr>
        <w:spacing w:before="0" w:beforeAutospacing="0" w:after="0" w:afterAutospacing="0"/>
        <w:textAlignment w:val="baseline"/>
        <w:rPr>
          <w:rFonts w:cs="Arial"/>
          <w:spacing w:val="-3"/>
          <w:szCs w:val="20"/>
        </w:rPr>
      </w:pPr>
      <w:r w:rsidRPr="00200A0C">
        <w:rPr>
          <w:rFonts w:cs="Arial"/>
          <w:spacing w:val="-3"/>
          <w:szCs w:val="20"/>
        </w:rPr>
        <w:t xml:space="preserve">Calcium Acetate Tabs </w:t>
      </w:r>
    </w:p>
    <w:p w14:paraId="6217811E" w14:textId="77777777" w:rsidR="00642CD9" w:rsidRPr="00B14D73" w:rsidRDefault="00642CD9" w:rsidP="6F821E24">
      <w:pPr>
        <w:pStyle w:val="paragraph"/>
        <w:numPr>
          <w:ilvl w:val="0"/>
          <w:numId w:val="15"/>
        </w:numPr>
        <w:spacing w:before="0" w:beforeAutospacing="0" w:after="0" w:afterAutospacing="0"/>
        <w:textAlignment w:val="baseline"/>
        <w:rPr>
          <w:rFonts w:cs="Arial"/>
          <w:spacing w:val="-3"/>
          <w:vertAlign w:val="superscript"/>
        </w:rPr>
      </w:pPr>
      <w:r w:rsidRPr="6F821E24">
        <w:rPr>
          <w:rFonts w:cs="Arial"/>
          <w:spacing w:val="-3"/>
        </w:rPr>
        <w:t>Calphron</w:t>
      </w:r>
    </w:p>
    <w:p w14:paraId="3AC1471F" w14:textId="77777777" w:rsidR="00642CD9" w:rsidRPr="004471D2" w:rsidRDefault="00642CD9" w:rsidP="00642CD9">
      <w:pPr>
        <w:pStyle w:val="paragraph"/>
        <w:numPr>
          <w:ilvl w:val="0"/>
          <w:numId w:val="15"/>
        </w:numPr>
        <w:spacing w:before="0" w:beforeAutospacing="0" w:after="0" w:afterAutospacing="0"/>
        <w:textAlignment w:val="baseline"/>
        <w:rPr>
          <w:rFonts w:cs="Arial"/>
          <w:spacing w:val="-3"/>
          <w:szCs w:val="20"/>
        </w:rPr>
      </w:pPr>
      <w:r w:rsidRPr="004471D2">
        <w:rPr>
          <w:rFonts w:cs="Arial"/>
          <w:spacing w:val="-3"/>
          <w:szCs w:val="20"/>
        </w:rPr>
        <w:t>Ferric Citrate</w:t>
      </w:r>
    </w:p>
    <w:p w14:paraId="23D24755" w14:textId="77777777" w:rsidR="00642CD9" w:rsidRPr="00200A0C" w:rsidRDefault="00642CD9" w:rsidP="6F821E24">
      <w:pPr>
        <w:pStyle w:val="paragraph"/>
        <w:numPr>
          <w:ilvl w:val="0"/>
          <w:numId w:val="15"/>
        </w:numPr>
        <w:spacing w:before="0" w:beforeAutospacing="0" w:after="0" w:afterAutospacing="0"/>
        <w:textAlignment w:val="baseline"/>
        <w:rPr>
          <w:rFonts w:cs="Arial"/>
          <w:spacing w:val="-3"/>
        </w:rPr>
      </w:pPr>
      <w:r w:rsidRPr="6F821E24">
        <w:rPr>
          <w:rFonts w:cs="Arial"/>
          <w:spacing w:val="-3"/>
        </w:rPr>
        <w:t xml:space="preserve">Fosrenol </w:t>
      </w:r>
    </w:p>
    <w:p w14:paraId="55073DE7" w14:textId="77777777" w:rsidR="00642CD9" w:rsidRDefault="00642CD9" w:rsidP="00642CD9">
      <w:pPr>
        <w:pStyle w:val="paragraph"/>
        <w:numPr>
          <w:ilvl w:val="0"/>
          <w:numId w:val="15"/>
        </w:numPr>
        <w:spacing w:before="0" w:beforeAutospacing="0" w:after="0" w:afterAutospacing="0"/>
        <w:textAlignment w:val="baseline"/>
        <w:rPr>
          <w:rFonts w:cs="Arial"/>
          <w:spacing w:val="-3"/>
          <w:szCs w:val="20"/>
        </w:rPr>
      </w:pPr>
      <w:r w:rsidRPr="00200A0C">
        <w:rPr>
          <w:rFonts w:cs="Arial"/>
          <w:spacing w:val="-3"/>
          <w:szCs w:val="20"/>
        </w:rPr>
        <w:t>Lanthanum Carbonate</w:t>
      </w:r>
    </w:p>
    <w:p w14:paraId="11DE9F56" w14:textId="58A1FA9F" w:rsidR="00642CD9" w:rsidRPr="00200A0C" w:rsidRDefault="00642CD9" w:rsidP="6F821E24">
      <w:pPr>
        <w:pStyle w:val="paragraph"/>
        <w:numPr>
          <w:ilvl w:val="0"/>
          <w:numId w:val="15"/>
        </w:numPr>
        <w:spacing w:before="0" w:beforeAutospacing="0" w:after="0" w:afterAutospacing="0"/>
        <w:textAlignment w:val="baseline"/>
        <w:rPr>
          <w:rFonts w:cs="Arial"/>
          <w:vertAlign w:val="superscript"/>
        </w:rPr>
      </w:pPr>
      <w:r w:rsidRPr="6F821E24">
        <w:rPr>
          <w:rFonts w:cs="Arial"/>
        </w:rPr>
        <w:t>Renagel</w:t>
      </w:r>
    </w:p>
    <w:p w14:paraId="2493669C" w14:textId="77777777" w:rsidR="00642CD9" w:rsidRPr="00200A0C" w:rsidRDefault="00642CD9" w:rsidP="6F821E24">
      <w:pPr>
        <w:pStyle w:val="paragraph"/>
        <w:numPr>
          <w:ilvl w:val="0"/>
          <w:numId w:val="15"/>
        </w:numPr>
        <w:spacing w:before="0" w:beforeAutospacing="0" w:after="0" w:afterAutospacing="0"/>
        <w:textAlignment w:val="baseline"/>
        <w:rPr>
          <w:rFonts w:cs="Arial"/>
          <w:spacing w:val="-3"/>
          <w:vertAlign w:val="superscript"/>
        </w:rPr>
      </w:pPr>
      <w:r w:rsidRPr="6F821E24">
        <w:rPr>
          <w:rFonts w:cs="Arial"/>
          <w:spacing w:val="-3"/>
        </w:rPr>
        <w:t>Renvela</w:t>
      </w:r>
    </w:p>
    <w:p w14:paraId="45D42346" w14:textId="77777777" w:rsidR="00642CD9" w:rsidRPr="00200A0C" w:rsidRDefault="00642CD9" w:rsidP="6F821E24">
      <w:pPr>
        <w:pStyle w:val="paragraph"/>
        <w:numPr>
          <w:ilvl w:val="0"/>
          <w:numId w:val="15"/>
        </w:numPr>
        <w:spacing w:before="0" w:beforeAutospacing="0" w:after="0" w:afterAutospacing="0"/>
        <w:textAlignment w:val="baseline"/>
        <w:rPr>
          <w:rFonts w:cs="Arial"/>
          <w:spacing w:val="-3"/>
        </w:rPr>
      </w:pPr>
      <w:r w:rsidRPr="6F821E24">
        <w:rPr>
          <w:rFonts w:cs="Arial"/>
          <w:spacing w:val="-3"/>
        </w:rPr>
        <w:t>Sevelamer Hydrochloride (gen Renagel)</w:t>
      </w:r>
    </w:p>
    <w:p w14:paraId="7659FB89" w14:textId="77777777" w:rsidR="00642CD9" w:rsidRPr="00200A0C" w:rsidRDefault="00642CD9" w:rsidP="00642CD9">
      <w:pPr>
        <w:pStyle w:val="paragraph"/>
        <w:numPr>
          <w:ilvl w:val="0"/>
          <w:numId w:val="15"/>
        </w:numPr>
        <w:spacing w:before="0" w:beforeAutospacing="0" w:after="0" w:afterAutospacing="0"/>
        <w:textAlignment w:val="baseline"/>
        <w:rPr>
          <w:rFonts w:cs="Arial"/>
          <w:spacing w:val="-3"/>
          <w:szCs w:val="20"/>
        </w:rPr>
      </w:pPr>
      <w:r w:rsidRPr="00200A0C">
        <w:rPr>
          <w:rFonts w:cs="Arial"/>
          <w:spacing w:val="-3"/>
          <w:szCs w:val="20"/>
        </w:rPr>
        <w:t>Sevelamer Pwd Pack</w:t>
      </w:r>
    </w:p>
    <w:p w14:paraId="75139F11" w14:textId="2E9F5275" w:rsidR="00642CD9" w:rsidRPr="001779CF" w:rsidRDefault="00642CD9" w:rsidP="6F821E24">
      <w:pPr>
        <w:numPr>
          <w:ilvl w:val="0"/>
          <w:numId w:val="15"/>
        </w:numPr>
        <w:rPr>
          <w:rFonts w:cs="Arial"/>
          <w:spacing w:val="-3"/>
          <w:vertAlign w:val="superscript"/>
        </w:rPr>
      </w:pPr>
      <w:r w:rsidRPr="6F821E24">
        <w:rPr>
          <w:rFonts w:cs="Arial"/>
          <w:spacing w:val="-3"/>
        </w:rPr>
        <w:t>Velphoro</w:t>
      </w:r>
      <w:r w:rsidR="5E95BC30" w:rsidRPr="381348AF">
        <w:rPr>
          <w:rFonts w:cs="Arial"/>
        </w:rPr>
        <w:t xml:space="preserve"> </w:t>
      </w:r>
    </w:p>
    <w:p w14:paraId="01EDDC3A" w14:textId="66EC9277" w:rsidR="00796C6F" w:rsidRPr="006C7653" w:rsidRDefault="00642CD9" w:rsidP="00D238E7">
      <w:pPr>
        <w:numPr>
          <w:ilvl w:val="0"/>
          <w:numId w:val="15"/>
        </w:numPr>
        <w:rPr>
          <w:vertAlign w:val="superscript"/>
        </w:rPr>
      </w:pPr>
      <w:r w:rsidRPr="00D238E7">
        <w:rPr>
          <w:rFonts w:cs="Arial"/>
          <w:spacing w:val="-3"/>
        </w:rPr>
        <w:t>Xphozah</w:t>
      </w:r>
      <w:r w:rsidR="52AB344C" w:rsidRPr="381348AF">
        <w:t xml:space="preserve"> </w:t>
      </w:r>
    </w:p>
    <w:p w14:paraId="11D631EC" w14:textId="77777777" w:rsidR="00442817" w:rsidRDefault="00442817">
      <w:pPr>
        <w:rPr>
          <w:rFonts w:cs="Arial"/>
          <w:b/>
          <w:color w:val="595959"/>
          <w:sz w:val="40"/>
          <w:szCs w:val="40"/>
        </w:rPr>
      </w:pPr>
      <w:r>
        <w:br w:type="page"/>
      </w:r>
    </w:p>
    <w:p w14:paraId="6413C027" w14:textId="41C73201" w:rsidR="00AE77DB" w:rsidRPr="00C02553" w:rsidRDefault="00AE77DB" w:rsidP="00E354AA">
      <w:pPr>
        <w:pStyle w:val="Heading1"/>
        <w:rPr>
          <w:lang w:val="en-US"/>
        </w:rPr>
      </w:pPr>
      <w:r w:rsidRPr="00C02553">
        <w:rPr>
          <w:lang w:val="en-US"/>
        </w:rPr>
        <w:lastRenderedPageBreak/>
        <w:t xml:space="preserve">Setting &amp; Population </w:t>
      </w:r>
    </w:p>
    <w:p w14:paraId="04B7FBFB" w14:textId="05ECD44E" w:rsidR="0097028A" w:rsidRPr="0079438F" w:rsidRDefault="0097028A" w:rsidP="00696E3A">
      <w:pPr>
        <w:rPr>
          <w:b/>
        </w:rPr>
      </w:pPr>
      <w:r w:rsidRPr="00696E3A">
        <w:rPr>
          <w:b/>
          <w:bCs/>
        </w:rPr>
        <w:t>Drug class for review:</w:t>
      </w:r>
      <w:r w:rsidRPr="00C02553">
        <w:t xml:space="preserve"> </w:t>
      </w:r>
      <w:r w:rsidR="00B45224" w:rsidRPr="001463B5">
        <w:rPr>
          <w:rFonts w:cs="Arial"/>
          <w:szCs w:val="20"/>
        </w:rPr>
        <w:t xml:space="preserve">Electrolyte </w:t>
      </w:r>
      <w:r w:rsidR="00B45224">
        <w:rPr>
          <w:rFonts w:cs="Arial"/>
          <w:szCs w:val="20"/>
        </w:rPr>
        <w:t>Depleting Agents</w:t>
      </w:r>
      <w:r w:rsidR="00B45224" w:rsidRPr="001463B5">
        <w:rPr>
          <w:rFonts w:cs="Arial"/>
          <w:szCs w:val="20"/>
        </w:rPr>
        <w:t>, Phosphate Lowering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8858E55" w14:textId="77777777" w:rsidR="00A84334" w:rsidRDefault="00A84334" w:rsidP="00994B73">
      <w:pPr>
        <w:pStyle w:val="ListParagraph"/>
      </w:pPr>
      <w:r>
        <w:t>Must meet one of the following:</w:t>
      </w:r>
    </w:p>
    <w:p w14:paraId="76B2333C" w14:textId="77777777" w:rsidR="00A84334" w:rsidRDefault="00A84334" w:rsidP="00994B73">
      <w:pPr>
        <w:pStyle w:val="ListParagraph"/>
        <w:numPr>
          <w:ilvl w:val="1"/>
          <w:numId w:val="6"/>
        </w:numPr>
      </w:pPr>
      <w:r>
        <w:t xml:space="preserve">Claim is for a preferred agent, </w:t>
      </w:r>
      <w:r w:rsidRPr="00080242">
        <w:rPr>
          <w:b/>
        </w:rPr>
        <w:t>OR</w:t>
      </w:r>
    </w:p>
    <w:p w14:paraId="2D647544" w14:textId="77777777" w:rsidR="00A84334" w:rsidRDefault="00A84334" w:rsidP="00994B73">
      <w:pPr>
        <w:pStyle w:val="ListParagraph"/>
        <w:numPr>
          <w:ilvl w:val="1"/>
          <w:numId w:val="6"/>
        </w:numPr>
      </w:pPr>
      <w:r w:rsidRPr="00080242">
        <w:t xml:space="preserve">Failure to achieve desired therapeutic outcomes with </w:t>
      </w:r>
      <w:r w:rsidRPr="00080242">
        <w:rPr>
          <w:noProof/>
        </w:rPr>
        <w:t>trial</w:t>
      </w:r>
      <w:r w:rsidRPr="00080242">
        <w:t xml:space="preserve"> on 2 or more preferred agents</w:t>
      </w:r>
      <w:r>
        <w:t>:</w:t>
      </w:r>
    </w:p>
    <w:p w14:paraId="01F37DE9" w14:textId="77777777" w:rsidR="00A84334" w:rsidRPr="00080242" w:rsidRDefault="00A84334" w:rsidP="00994B73">
      <w:pPr>
        <w:pStyle w:val="ListParagraph"/>
        <w:numPr>
          <w:ilvl w:val="2"/>
          <w:numId w:val="6"/>
        </w:numPr>
      </w:pPr>
      <w:r w:rsidRPr="00080242">
        <w:rPr>
          <w:noProof/>
        </w:rPr>
        <w:t>Documented</w:t>
      </w:r>
      <w:r w:rsidRPr="00080242">
        <w:t xml:space="preserve"> trial period for preferred agents</w:t>
      </w:r>
      <w:r>
        <w:rPr>
          <w:b/>
        </w:rPr>
        <w:t>; OR</w:t>
      </w:r>
    </w:p>
    <w:p w14:paraId="7531FCB4" w14:textId="3A7C01A7" w:rsidR="00A84334" w:rsidRPr="009641F5" w:rsidRDefault="00A84334" w:rsidP="00A959A0">
      <w:pPr>
        <w:pStyle w:val="ListParagraph"/>
        <w:numPr>
          <w:ilvl w:val="2"/>
          <w:numId w:val="6"/>
        </w:numPr>
      </w:pPr>
      <w:r w:rsidRPr="00080242">
        <w:t>Documented ADE/ADR to preferred agents</w:t>
      </w:r>
      <w:r w:rsidR="00043ED7" w:rsidRPr="00F1715D">
        <w:t>.</w:t>
      </w:r>
    </w:p>
    <w:p w14:paraId="4EBD7495" w14:textId="5F66A03D" w:rsidR="009641F5" w:rsidRPr="008C204D" w:rsidRDefault="009641F5" w:rsidP="009641F5">
      <w:pPr>
        <w:pStyle w:val="ListParagraph"/>
        <w:rPr>
          <w:b/>
          <w:bCs/>
          <w:color w:val="1F497D" w:themeColor="text2"/>
        </w:rPr>
      </w:pPr>
      <w:r w:rsidRPr="008C204D">
        <w:rPr>
          <w:b/>
          <w:bCs/>
          <w:color w:val="1F497D" w:themeColor="text2"/>
        </w:rPr>
        <w:t>Additional approval criteria for Velphoro – must meet all of the following:</w:t>
      </w:r>
    </w:p>
    <w:p w14:paraId="2C472CDA" w14:textId="77777777" w:rsidR="00713DB8" w:rsidRPr="00A54D90" w:rsidRDefault="00713DB8" w:rsidP="00713DB8">
      <w:pPr>
        <w:pStyle w:val="ListParagraph"/>
        <w:numPr>
          <w:ilvl w:val="1"/>
          <w:numId w:val="6"/>
        </w:numPr>
        <w:rPr>
          <w:rFonts w:cs="Arial"/>
          <w:b/>
          <w:bCs/>
          <w:color w:val="1F497D" w:themeColor="text2"/>
        </w:rPr>
      </w:pPr>
      <w:r w:rsidRPr="00713DB8">
        <w:rPr>
          <w:b/>
          <w:bCs/>
          <w:color w:val="1F497D" w:themeColor="text2"/>
        </w:rPr>
        <w:t>Participant</w:t>
      </w:r>
      <w:r>
        <w:rPr>
          <w:rFonts w:cs="Arial"/>
          <w:b/>
          <w:bCs/>
          <w:color w:val="1F497D" w:themeColor="text2"/>
        </w:rPr>
        <w:t xml:space="preserve"> has a </w:t>
      </w:r>
      <w:r w:rsidRPr="00A54D90">
        <w:rPr>
          <w:rFonts w:cs="Arial"/>
          <w:b/>
          <w:bCs/>
          <w:color w:val="1F497D" w:themeColor="text2"/>
        </w:rPr>
        <w:t xml:space="preserve">has a documented diagnosis of CKD and is on dialysis; </w:t>
      </w:r>
    </w:p>
    <w:p w14:paraId="374E0C5C" w14:textId="5C60031C" w:rsidR="00F07A27" w:rsidRPr="00A54D90" w:rsidRDefault="0063180E" w:rsidP="00F07A27">
      <w:pPr>
        <w:pStyle w:val="ListParagraph"/>
        <w:numPr>
          <w:ilvl w:val="1"/>
          <w:numId w:val="6"/>
        </w:numPr>
        <w:rPr>
          <w:rFonts w:cs="Arial"/>
          <w:b/>
          <w:bCs/>
          <w:color w:val="1F497D" w:themeColor="text2"/>
        </w:rPr>
      </w:pPr>
      <w:r>
        <w:rPr>
          <w:rFonts w:cs="Arial"/>
          <w:b/>
          <w:bCs/>
          <w:color w:val="1F497D" w:themeColor="text2"/>
        </w:rPr>
        <w:t xml:space="preserve">Documented therapeutic trial </w:t>
      </w:r>
      <w:r w:rsidR="00F07A27">
        <w:rPr>
          <w:rFonts w:cs="Arial"/>
          <w:b/>
          <w:bCs/>
          <w:color w:val="1F497D" w:themeColor="text2"/>
        </w:rPr>
        <w:t>of Auryxia;</w:t>
      </w:r>
    </w:p>
    <w:p w14:paraId="65D91D16" w14:textId="77777777" w:rsidR="0005160A" w:rsidRPr="008C204D" w:rsidRDefault="00AE510B" w:rsidP="00AE510B">
      <w:pPr>
        <w:pStyle w:val="ListParagraph"/>
        <w:numPr>
          <w:ilvl w:val="1"/>
          <w:numId w:val="6"/>
        </w:numPr>
        <w:rPr>
          <w:b/>
          <w:bCs/>
          <w:color w:val="1F497D" w:themeColor="text2"/>
        </w:rPr>
      </w:pPr>
      <w:r w:rsidRPr="008C204D">
        <w:rPr>
          <w:b/>
          <w:bCs/>
          <w:color w:val="1F497D" w:themeColor="text2"/>
        </w:rPr>
        <w:t xml:space="preserve">Participant is </w:t>
      </w:r>
      <w:r w:rsidR="008E248E" w:rsidRPr="008C204D">
        <w:rPr>
          <w:b/>
          <w:bCs/>
          <w:color w:val="1F497D" w:themeColor="text2"/>
        </w:rPr>
        <w:t>aged</w:t>
      </w:r>
      <w:r w:rsidR="0005160A" w:rsidRPr="008C204D">
        <w:rPr>
          <w:b/>
          <w:bCs/>
          <w:color w:val="1F497D" w:themeColor="text2"/>
        </w:rPr>
        <w:t xml:space="preserve"> </w:t>
      </w:r>
      <w:r w:rsidR="0005160A" w:rsidRPr="008C204D">
        <w:rPr>
          <w:rFonts w:cs="Arial"/>
          <w:b/>
          <w:bCs/>
          <w:color w:val="1F497D" w:themeColor="text2"/>
        </w:rPr>
        <w:t>≥</w:t>
      </w:r>
      <w:r w:rsidR="0005160A" w:rsidRPr="008C204D">
        <w:rPr>
          <w:b/>
          <w:bCs/>
          <w:color w:val="1F497D" w:themeColor="text2"/>
        </w:rPr>
        <w:t xml:space="preserve"> 9 years; AND</w:t>
      </w:r>
    </w:p>
    <w:p w14:paraId="5B07C86C" w14:textId="718E3D34" w:rsidR="00AE510B" w:rsidRDefault="0005160A" w:rsidP="00AE510B">
      <w:pPr>
        <w:pStyle w:val="ListParagraph"/>
        <w:numPr>
          <w:ilvl w:val="1"/>
          <w:numId w:val="6"/>
        </w:numPr>
        <w:rPr>
          <w:b/>
          <w:bCs/>
          <w:color w:val="1F497D" w:themeColor="text2"/>
        </w:rPr>
      </w:pPr>
      <w:r w:rsidRPr="008C204D">
        <w:rPr>
          <w:b/>
          <w:bCs/>
          <w:color w:val="1F497D" w:themeColor="text2"/>
        </w:rPr>
        <w:t xml:space="preserve">Clinical Consultant Review for reason why </w:t>
      </w:r>
      <w:r w:rsidR="008C204D" w:rsidRPr="008C204D">
        <w:rPr>
          <w:b/>
          <w:bCs/>
          <w:color w:val="1F497D" w:themeColor="text2"/>
        </w:rPr>
        <w:t>sevelamer carbonate tabs (gen Renvela) cannot be utilized (e.g., severe dysphagia/swallowing difficulty).</w:t>
      </w:r>
      <w:r w:rsidR="00DF263E" w:rsidRPr="008C204D">
        <w:rPr>
          <w:b/>
          <w:bCs/>
          <w:color w:val="1F497D" w:themeColor="text2"/>
        </w:rPr>
        <w:t xml:space="preserve"> </w:t>
      </w:r>
    </w:p>
    <w:p w14:paraId="6CC55C95" w14:textId="60B6C7ED" w:rsidR="003756DE" w:rsidRPr="00A54D90" w:rsidRDefault="003756DE" w:rsidP="003756DE">
      <w:pPr>
        <w:pStyle w:val="ListParagraph"/>
        <w:rPr>
          <w:b/>
          <w:bCs/>
          <w:color w:val="1F497D" w:themeColor="text2"/>
        </w:rPr>
      </w:pPr>
      <w:r w:rsidRPr="00A54D90">
        <w:rPr>
          <w:b/>
          <w:bCs/>
          <w:color w:val="1F497D" w:themeColor="text2"/>
        </w:rPr>
        <w:t xml:space="preserve">Additional approval criteria for Xphozah – must meet </w:t>
      </w:r>
      <w:r w:rsidR="00565873">
        <w:rPr>
          <w:b/>
          <w:bCs/>
          <w:color w:val="1F497D" w:themeColor="text2"/>
        </w:rPr>
        <w:t>one</w:t>
      </w:r>
      <w:r w:rsidRPr="00A54D90">
        <w:rPr>
          <w:b/>
          <w:bCs/>
          <w:color w:val="1F497D" w:themeColor="text2"/>
        </w:rPr>
        <w:t xml:space="preserve"> of the following:</w:t>
      </w:r>
    </w:p>
    <w:p w14:paraId="05313784" w14:textId="3C42ABEA" w:rsidR="00565873" w:rsidRDefault="00DF28B3" w:rsidP="00565873">
      <w:pPr>
        <w:pStyle w:val="ListParagraph"/>
        <w:numPr>
          <w:ilvl w:val="1"/>
          <w:numId w:val="6"/>
        </w:numPr>
        <w:rPr>
          <w:b/>
          <w:bCs/>
          <w:color w:val="1F497D" w:themeColor="text2"/>
        </w:rPr>
      </w:pPr>
      <w:r>
        <w:rPr>
          <w:b/>
          <w:bCs/>
          <w:color w:val="1F497D" w:themeColor="text2"/>
        </w:rPr>
        <w:t xml:space="preserve">Initial </w:t>
      </w:r>
      <w:r w:rsidR="00C82F36">
        <w:rPr>
          <w:b/>
          <w:bCs/>
          <w:color w:val="1F497D" w:themeColor="text2"/>
        </w:rPr>
        <w:t xml:space="preserve">therapy – must </w:t>
      </w:r>
      <w:r w:rsidR="00A31491">
        <w:rPr>
          <w:b/>
          <w:bCs/>
          <w:color w:val="1F497D" w:themeColor="text2"/>
        </w:rPr>
        <w:t>meet all of the following:</w:t>
      </w:r>
    </w:p>
    <w:p w14:paraId="600BEBE9" w14:textId="5F20B79F" w:rsidR="003756DE" w:rsidRPr="00A54D90" w:rsidRDefault="002A3D2A" w:rsidP="00565873">
      <w:pPr>
        <w:pStyle w:val="ListParagraph"/>
        <w:numPr>
          <w:ilvl w:val="2"/>
          <w:numId w:val="6"/>
        </w:numPr>
        <w:rPr>
          <w:b/>
          <w:bCs/>
          <w:color w:val="1F497D" w:themeColor="text2"/>
        </w:rPr>
      </w:pPr>
      <w:r w:rsidRPr="00A54D90">
        <w:rPr>
          <w:b/>
          <w:bCs/>
          <w:color w:val="1F497D" w:themeColor="text2"/>
        </w:rPr>
        <w:t xml:space="preserve">Participant is aged </w:t>
      </w:r>
      <w:r w:rsidRPr="00A54D90">
        <w:rPr>
          <w:rFonts w:cs="Arial"/>
          <w:b/>
          <w:bCs/>
          <w:color w:val="1F497D" w:themeColor="text2"/>
        </w:rPr>
        <w:t>≥ 18 years;</w:t>
      </w:r>
    </w:p>
    <w:p w14:paraId="5208B523" w14:textId="77777777" w:rsidR="00A54D90" w:rsidRDefault="002A3D2A" w:rsidP="00565873">
      <w:pPr>
        <w:pStyle w:val="ListParagraph"/>
        <w:numPr>
          <w:ilvl w:val="2"/>
          <w:numId w:val="6"/>
        </w:numPr>
        <w:rPr>
          <w:rFonts w:cs="Arial"/>
          <w:b/>
          <w:bCs/>
          <w:color w:val="1F497D" w:themeColor="text2"/>
        </w:rPr>
      </w:pPr>
      <w:r>
        <w:rPr>
          <w:rFonts w:cs="Arial"/>
          <w:b/>
          <w:bCs/>
          <w:color w:val="1F497D" w:themeColor="text2"/>
        </w:rPr>
        <w:t xml:space="preserve">Participant has a </w:t>
      </w:r>
      <w:r w:rsidR="00A54D90" w:rsidRPr="00A54D90">
        <w:rPr>
          <w:rFonts w:cs="Arial"/>
          <w:b/>
          <w:bCs/>
          <w:color w:val="1F497D" w:themeColor="text2"/>
        </w:rPr>
        <w:t xml:space="preserve">has a documented diagnosis of CKD and is on dialysis; </w:t>
      </w:r>
    </w:p>
    <w:p w14:paraId="28A1CFE0" w14:textId="5D0577C3" w:rsidR="00E8363A" w:rsidRPr="00A54D90" w:rsidRDefault="0063180E" w:rsidP="00565873">
      <w:pPr>
        <w:pStyle w:val="ListParagraph"/>
        <w:numPr>
          <w:ilvl w:val="2"/>
          <w:numId w:val="6"/>
        </w:numPr>
        <w:rPr>
          <w:rFonts w:cs="Arial"/>
          <w:b/>
          <w:bCs/>
          <w:color w:val="1F497D" w:themeColor="text2"/>
        </w:rPr>
      </w:pPr>
      <w:r>
        <w:rPr>
          <w:rFonts w:cs="Arial"/>
          <w:b/>
          <w:bCs/>
          <w:color w:val="1F497D" w:themeColor="text2"/>
        </w:rPr>
        <w:t xml:space="preserve">Documented therapeutic trial of </w:t>
      </w:r>
      <w:r w:rsidR="00F61F63">
        <w:rPr>
          <w:rFonts w:cs="Arial"/>
          <w:b/>
          <w:bCs/>
          <w:color w:val="1F497D" w:themeColor="text2"/>
        </w:rPr>
        <w:t>Auryxia;</w:t>
      </w:r>
    </w:p>
    <w:p w14:paraId="3319D0CA" w14:textId="6079B9E3" w:rsidR="00A54D90" w:rsidRPr="00A54D90" w:rsidRDefault="00A54D90" w:rsidP="00565873">
      <w:pPr>
        <w:pStyle w:val="ListParagraph"/>
        <w:numPr>
          <w:ilvl w:val="2"/>
          <w:numId w:val="6"/>
        </w:numPr>
        <w:rPr>
          <w:rFonts w:cs="Arial"/>
          <w:b/>
          <w:bCs/>
          <w:color w:val="1F497D" w:themeColor="text2"/>
        </w:rPr>
      </w:pPr>
      <w:r w:rsidRPr="00A54D90">
        <w:rPr>
          <w:rFonts w:cs="Arial"/>
          <w:b/>
          <w:bCs/>
          <w:color w:val="1F497D" w:themeColor="text2"/>
        </w:rPr>
        <w:t>Documentation that participant’s serum phosphorus levels remain &gt; 5.5 mg/d</w:t>
      </w:r>
      <w:r w:rsidR="00284933">
        <w:rPr>
          <w:rFonts w:cs="Arial"/>
          <w:b/>
          <w:bCs/>
          <w:color w:val="1F497D" w:themeColor="text2"/>
        </w:rPr>
        <w:t>L</w:t>
      </w:r>
      <w:r w:rsidRPr="00A54D90">
        <w:rPr>
          <w:rFonts w:cs="Arial"/>
          <w:b/>
          <w:bCs/>
          <w:color w:val="1F497D" w:themeColor="text2"/>
        </w:rPr>
        <w:t xml:space="preserve"> despite </w:t>
      </w:r>
      <w:r w:rsidR="00BE44F0">
        <w:rPr>
          <w:rFonts w:cs="Arial"/>
          <w:b/>
          <w:bCs/>
          <w:color w:val="1F497D" w:themeColor="text2"/>
        </w:rPr>
        <w:t>compliance</w:t>
      </w:r>
      <w:r w:rsidR="007116EC">
        <w:rPr>
          <w:rFonts w:cs="Arial"/>
          <w:b/>
          <w:bCs/>
          <w:color w:val="1F497D" w:themeColor="text2"/>
        </w:rPr>
        <w:t xml:space="preserve"> on concurrent therapy </w:t>
      </w:r>
      <w:r w:rsidRPr="00A54D90">
        <w:rPr>
          <w:rFonts w:cs="Arial"/>
          <w:b/>
          <w:bCs/>
          <w:color w:val="1F497D" w:themeColor="text2"/>
        </w:rPr>
        <w:t>of phosphate binder; AND</w:t>
      </w:r>
    </w:p>
    <w:p w14:paraId="79B281C4" w14:textId="7E18F46E" w:rsidR="002A3D2A" w:rsidRPr="00BB6E5A" w:rsidRDefault="00A54D90" w:rsidP="00565873">
      <w:pPr>
        <w:pStyle w:val="ListParagraph"/>
        <w:numPr>
          <w:ilvl w:val="2"/>
          <w:numId w:val="6"/>
        </w:numPr>
      </w:pPr>
      <w:r w:rsidRPr="00BB6E5A">
        <w:rPr>
          <w:rFonts w:cs="Arial"/>
          <w:b/>
          <w:bCs/>
          <w:color w:val="1F497D" w:themeColor="text2"/>
        </w:rPr>
        <w:t>Xphozah will be utilized as add-on therapy with phosphate binder therapy</w:t>
      </w:r>
      <w:r w:rsidR="003533C6">
        <w:rPr>
          <w:rFonts w:cs="Arial"/>
          <w:b/>
          <w:bCs/>
          <w:color w:val="1F497D" w:themeColor="text2"/>
        </w:rPr>
        <w:t>.</w:t>
      </w:r>
    </w:p>
    <w:p w14:paraId="70B628FF" w14:textId="506AD01B" w:rsidR="00A31491" w:rsidRPr="00344FF0" w:rsidRDefault="00A31491" w:rsidP="00BB6E5A">
      <w:pPr>
        <w:pStyle w:val="ListParagraph"/>
        <w:numPr>
          <w:ilvl w:val="2"/>
          <w:numId w:val="6"/>
        </w:numPr>
      </w:pPr>
      <w:r>
        <w:rPr>
          <w:rFonts w:cs="Arial"/>
          <w:b/>
          <w:bCs/>
          <w:color w:val="1F497D" w:themeColor="text2"/>
        </w:rPr>
        <w:t xml:space="preserve">Initial approval is for 6 months only. </w:t>
      </w:r>
    </w:p>
    <w:p w14:paraId="7A6F8CF8" w14:textId="7031325A" w:rsidR="00344FF0" w:rsidRPr="00344FF0" w:rsidRDefault="00344FF0" w:rsidP="00A31491">
      <w:pPr>
        <w:pStyle w:val="ListParagraph"/>
        <w:numPr>
          <w:ilvl w:val="1"/>
          <w:numId w:val="6"/>
        </w:numPr>
      </w:pPr>
      <w:r>
        <w:rPr>
          <w:rFonts w:cs="Arial"/>
          <w:b/>
          <w:bCs/>
          <w:color w:val="1F497D" w:themeColor="text2"/>
        </w:rPr>
        <w:t>Continuation of therapy – must meet all of the following:</w:t>
      </w:r>
    </w:p>
    <w:p w14:paraId="23D8B930" w14:textId="77777777" w:rsidR="008560C7" w:rsidRPr="008560C7" w:rsidRDefault="00344FF0" w:rsidP="00344FF0">
      <w:pPr>
        <w:pStyle w:val="ListParagraph"/>
        <w:numPr>
          <w:ilvl w:val="2"/>
          <w:numId w:val="6"/>
        </w:numPr>
      </w:pPr>
      <w:r>
        <w:rPr>
          <w:rFonts w:cs="Arial"/>
          <w:b/>
          <w:bCs/>
          <w:color w:val="1F497D" w:themeColor="text2"/>
        </w:rPr>
        <w:t>Document</w:t>
      </w:r>
      <w:r w:rsidR="00A742E5">
        <w:rPr>
          <w:rFonts w:cs="Arial"/>
          <w:b/>
          <w:bCs/>
          <w:color w:val="1F497D" w:themeColor="text2"/>
        </w:rPr>
        <w:t>ed compliance to current therapy</w:t>
      </w:r>
      <w:r w:rsidR="008560C7">
        <w:rPr>
          <w:rFonts w:cs="Arial"/>
          <w:b/>
          <w:bCs/>
          <w:color w:val="1F497D" w:themeColor="text2"/>
        </w:rPr>
        <w:t>;</w:t>
      </w:r>
    </w:p>
    <w:p w14:paraId="5EE28480" w14:textId="77777777" w:rsidR="00776AAA" w:rsidRPr="00776AAA" w:rsidRDefault="00F91A81" w:rsidP="00344FF0">
      <w:pPr>
        <w:pStyle w:val="ListParagraph"/>
        <w:numPr>
          <w:ilvl w:val="2"/>
          <w:numId w:val="6"/>
        </w:numPr>
      </w:pPr>
      <w:r>
        <w:rPr>
          <w:rFonts w:cs="Arial"/>
          <w:b/>
          <w:bCs/>
          <w:color w:val="1F497D" w:themeColor="text2"/>
        </w:rPr>
        <w:t xml:space="preserve">Documented compliance to </w:t>
      </w:r>
      <w:r w:rsidR="00776AAA">
        <w:rPr>
          <w:rFonts w:cs="Arial"/>
          <w:b/>
          <w:bCs/>
          <w:color w:val="1F497D" w:themeColor="text2"/>
        </w:rPr>
        <w:t>current adjunct phosphate binder therapy; AND</w:t>
      </w:r>
    </w:p>
    <w:p w14:paraId="14C14558" w14:textId="2345D2D9" w:rsidR="00344FF0" w:rsidRPr="008C204D" w:rsidRDefault="00776AAA" w:rsidP="00344FF0">
      <w:pPr>
        <w:pStyle w:val="ListParagraph"/>
        <w:numPr>
          <w:ilvl w:val="2"/>
          <w:numId w:val="6"/>
        </w:numPr>
      </w:pPr>
      <w:r>
        <w:rPr>
          <w:rFonts w:cs="Arial"/>
          <w:b/>
          <w:bCs/>
          <w:color w:val="1F497D" w:themeColor="text2"/>
        </w:rPr>
        <w:t xml:space="preserve">Documented reduction in serum phosphorus levels from baseline. </w:t>
      </w:r>
      <w:r w:rsidR="00344FF0">
        <w:rPr>
          <w:rFonts w:cs="Arial"/>
          <w:b/>
          <w:bCs/>
          <w:color w:val="1F497D" w:themeColor="text2"/>
        </w:rPr>
        <w:t xml:space="preserve">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D4FC2A7" w14:textId="77777777" w:rsidR="000A3C81" w:rsidRPr="00994B73" w:rsidRDefault="000A3C81" w:rsidP="00994B73">
      <w:pPr>
        <w:pStyle w:val="ListParagraph"/>
      </w:pPr>
      <w:r w:rsidRPr="00994B73">
        <w:t>Therapy will deny with presence of any of the following:</w:t>
      </w:r>
    </w:p>
    <w:p w14:paraId="0FB114C4" w14:textId="77777777" w:rsidR="00F01788" w:rsidRPr="001F363B" w:rsidRDefault="000A3C81" w:rsidP="00F01788">
      <w:pPr>
        <w:pStyle w:val="ListParagraph"/>
        <w:numPr>
          <w:ilvl w:val="1"/>
          <w:numId w:val="6"/>
        </w:numPr>
        <w:rPr>
          <w:color w:val="1F497D" w:themeColor="text2"/>
        </w:rPr>
      </w:pPr>
      <w:r w:rsidRPr="00994B73">
        <w:t>Any approval criteria are not met</w:t>
      </w:r>
      <w:r w:rsidR="00F01788">
        <w:t xml:space="preserve">; </w:t>
      </w:r>
      <w:r w:rsidR="00F01788" w:rsidRPr="001F363B">
        <w:rPr>
          <w:b/>
          <w:bCs/>
          <w:color w:val="1F497D" w:themeColor="text2"/>
        </w:rPr>
        <w:t>OR</w:t>
      </w:r>
    </w:p>
    <w:p w14:paraId="37B0AF5A" w14:textId="28ABE05F" w:rsidR="00422385" w:rsidRPr="001F363B" w:rsidRDefault="00F01788" w:rsidP="00422385">
      <w:pPr>
        <w:pStyle w:val="ListParagraph"/>
        <w:numPr>
          <w:ilvl w:val="1"/>
          <w:numId w:val="6"/>
        </w:numPr>
        <w:rPr>
          <w:color w:val="1F497D" w:themeColor="text2"/>
        </w:rPr>
      </w:pPr>
      <w:r w:rsidRPr="001F363B">
        <w:rPr>
          <w:b/>
          <w:bCs/>
          <w:color w:val="1F497D" w:themeColor="text2"/>
        </w:rPr>
        <w:t>Claim exceeds max dosing limitations: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54"/>
        <w:gridCol w:w="2151"/>
        <w:gridCol w:w="4439"/>
      </w:tblGrid>
      <w:tr w:rsidR="00422385" w:rsidRPr="001F363B" w14:paraId="3E2FD323" w14:textId="77777777" w:rsidTr="009506C4">
        <w:trPr>
          <w:trHeight w:val="300"/>
        </w:trPr>
        <w:tc>
          <w:tcPr>
            <w:tcW w:w="2754" w:type="dxa"/>
            <w:tcBorders>
              <w:top w:val="single" w:sz="6" w:space="0" w:color="auto"/>
              <w:left w:val="single" w:sz="6" w:space="0" w:color="auto"/>
              <w:bottom w:val="single" w:sz="6" w:space="0" w:color="auto"/>
              <w:right w:val="single" w:sz="6" w:space="0" w:color="auto"/>
            </w:tcBorders>
            <w:shd w:val="clear" w:color="auto" w:fill="FABF8F"/>
            <w:hideMark/>
          </w:tcPr>
          <w:p w14:paraId="4F2B8157" w14:textId="77777777" w:rsidR="00422385" w:rsidRPr="001F363B" w:rsidRDefault="00422385" w:rsidP="00422385">
            <w:pPr>
              <w:rPr>
                <w:b/>
                <w:bCs/>
                <w:color w:val="1F497D" w:themeColor="text2"/>
              </w:rPr>
            </w:pPr>
            <w:r w:rsidRPr="001F363B">
              <w:rPr>
                <w:b/>
                <w:bCs/>
                <w:color w:val="1F497D" w:themeColor="text2"/>
              </w:rPr>
              <w:t>Drug Description </w:t>
            </w:r>
          </w:p>
        </w:tc>
        <w:tc>
          <w:tcPr>
            <w:tcW w:w="2151" w:type="dxa"/>
            <w:tcBorders>
              <w:top w:val="single" w:sz="6" w:space="0" w:color="auto"/>
              <w:left w:val="single" w:sz="6" w:space="0" w:color="auto"/>
              <w:bottom w:val="single" w:sz="6" w:space="0" w:color="auto"/>
              <w:right w:val="single" w:sz="6" w:space="0" w:color="auto"/>
            </w:tcBorders>
            <w:shd w:val="clear" w:color="auto" w:fill="FABF8F"/>
            <w:hideMark/>
          </w:tcPr>
          <w:p w14:paraId="530DC59E" w14:textId="77777777" w:rsidR="00422385" w:rsidRPr="001F363B" w:rsidRDefault="00422385" w:rsidP="00422385">
            <w:pPr>
              <w:rPr>
                <w:b/>
                <w:bCs/>
                <w:color w:val="1F497D" w:themeColor="text2"/>
              </w:rPr>
            </w:pPr>
            <w:r w:rsidRPr="001F363B">
              <w:rPr>
                <w:b/>
                <w:bCs/>
                <w:color w:val="1F497D" w:themeColor="text2"/>
              </w:rPr>
              <w:t>Generic Equivalent </w:t>
            </w:r>
          </w:p>
        </w:tc>
        <w:tc>
          <w:tcPr>
            <w:tcW w:w="4439" w:type="dxa"/>
            <w:tcBorders>
              <w:top w:val="single" w:sz="6" w:space="0" w:color="auto"/>
              <w:left w:val="single" w:sz="6" w:space="0" w:color="auto"/>
              <w:bottom w:val="single" w:sz="6" w:space="0" w:color="auto"/>
              <w:right w:val="single" w:sz="6" w:space="0" w:color="auto"/>
            </w:tcBorders>
            <w:shd w:val="clear" w:color="auto" w:fill="FABF8F"/>
            <w:hideMark/>
          </w:tcPr>
          <w:p w14:paraId="5263152A" w14:textId="77777777" w:rsidR="00422385" w:rsidRPr="001F363B" w:rsidRDefault="00422385" w:rsidP="00422385">
            <w:pPr>
              <w:rPr>
                <w:b/>
                <w:bCs/>
                <w:color w:val="1F497D" w:themeColor="text2"/>
              </w:rPr>
            </w:pPr>
            <w:r w:rsidRPr="001F363B">
              <w:rPr>
                <w:b/>
                <w:bCs/>
                <w:color w:val="1F497D" w:themeColor="text2"/>
              </w:rPr>
              <w:t>Max Dosing Limitations </w:t>
            </w:r>
          </w:p>
        </w:tc>
      </w:tr>
      <w:tr w:rsidR="00422385" w:rsidRPr="001F363B" w14:paraId="46FB7A50" w14:textId="77777777" w:rsidTr="001F363B">
        <w:trPr>
          <w:trHeight w:val="315"/>
        </w:trPr>
        <w:tc>
          <w:tcPr>
            <w:tcW w:w="2754" w:type="dxa"/>
            <w:tcBorders>
              <w:top w:val="single" w:sz="6" w:space="0" w:color="auto"/>
              <w:left w:val="single" w:sz="6" w:space="0" w:color="auto"/>
              <w:bottom w:val="single" w:sz="6" w:space="0" w:color="auto"/>
              <w:right w:val="single" w:sz="6" w:space="0" w:color="auto"/>
            </w:tcBorders>
            <w:vAlign w:val="center"/>
            <w:hideMark/>
          </w:tcPr>
          <w:p w14:paraId="4BC3A840" w14:textId="51BB2B7E" w:rsidR="00422385" w:rsidRPr="001F363B" w:rsidRDefault="00402429" w:rsidP="001F363B">
            <w:pPr>
              <w:rPr>
                <w:rFonts w:cs="Arial"/>
                <w:b/>
                <w:bCs/>
                <w:color w:val="1F497D" w:themeColor="text2"/>
                <w:szCs w:val="20"/>
              </w:rPr>
            </w:pPr>
            <w:r w:rsidRPr="001F363B">
              <w:rPr>
                <w:rFonts w:cs="Arial"/>
                <w:b/>
                <w:bCs/>
                <w:color w:val="1F497D" w:themeColor="text2"/>
                <w:szCs w:val="20"/>
              </w:rPr>
              <w:t>VELPHORO 500 MG CHEWABLE TAB</w:t>
            </w:r>
          </w:p>
        </w:tc>
        <w:tc>
          <w:tcPr>
            <w:tcW w:w="2151" w:type="dxa"/>
            <w:tcBorders>
              <w:top w:val="single" w:sz="6" w:space="0" w:color="auto"/>
              <w:left w:val="single" w:sz="6" w:space="0" w:color="auto"/>
              <w:bottom w:val="single" w:sz="6" w:space="0" w:color="auto"/>
              <w:right w:val="single" w:sz="6" w:space="0" w:color="auto"/>
            </w:tcBorders>
            <w:vAlign w:val="center"/>
            <w:hideMark/>
          </w:tcPr>
          <w:p w14:paraId="2C1A847B" w14:textId="2B33C589" w:rsidR="00422385" w:rsidRPr="001F363B" w:rsidRDefault="00402429" w:rsidP="001F363B">
            <w:pPr>
              <w:rPr>
                <w:rFonts w:cs="Arial"/>
                <w:b/>
                <w:bCs/>
                <w:color w:val="1F497D" w:themeColor="text2"/>
                <w:szCs w:val="20"/>
              </w:rPr>
            </w:pPr>
            <w:r w:rsidRPr="001F363B">
              <w:rPr>
                <w:rFonts w:cs="Arial"/>
                <w:b/>
                <w:bCs/>
                <w:color w:val="1F497D" w:themeColor="text2"/>
                <w:szCs w:val="20"/>
              </w:rPr>
              <w:t>SUCROFERRIC OXYHYDROXIDE</w:t>
            </w:r>
          </w:p>
        </w:tc>
        <w:tc>
          <w:tcPr>
            <w:tcW w:w="4439" w:type="dxa"/>
            <w:tcBorders>
              <w:top w:val="single" w:sz="6" w:space="0" w:color="auto"/>
              <w:left w:val="single" w:sz="6" w:space="0" w:color="auto"/>
              <w:bottom w:val="single" w:sz="6" w:space="0" w:color="auto"/>
              <w:right w:val="single" w:sz="6" w:space="0" w:color="auto"/>
            </w:tcBorders>
            <w:vAlign w:val="center"/>
            <w:hideMark/>
          </w:tcPr>
          <w:p w14:paraId="1059255F" w14:textId="538DE735" w:rsidR="00422385" w:rsidRPr="001F363B" w:rsidRDefault="00422385" w:rsidP="001F363B">
            <w:pPr>
              <w:rPr>
                <w:b/>
                <w:bCs/>
                <w:color w:val="1F497D" w:themeColor="text2"/>
              </w:rPr>
            </w:pPr>
            <w:r w:rsidRPr="001F363B">
              <w:rPr>
                <w:b/>
                <w:bCs/>
                <w:color w:val="1F497D" w:themeColor="text2"/>
              </w:rPr>
              <w:t>Deny dosing more frequently than </w:t>
            </w:r>
            <w:r w:rsidR="00402429" w:rsidRPr="001F363B">
              <w:rPr>
                <w:b/>
                <w:bCs/>
                <w:color w:val="1F497D" w:themeColor="text2"/>
              </w:rPr>
              <w:t xml:space="preserve">6 </w:t>
            </w:r>
            <w:r w:rsidRPr="001F363B">
              <w:rPr>
                <w:b/>
                <w:bCs/>
                <w:color w:val="1F497D" w:themeColor="text2"/>
              </w:rPr>
              <w:t>tab</w:t>
            </w:r>
            <w:r w:rsidR="00402429" w:rsidRPr="001F363B">
              <w:rPr>
                <w:b/>
                <w:bCs/>
                <w:color w:val="1F497D" w:themeColor="text2"/>
              </w:rPr>
              <w:t>s</w:t>
            </w:r>
            <w:r w:rsidRPr="001F363B">
              <w:rPr>
                <w:b/>
                <w:bCs/>
                <w:color w:val="1F497D" w:themeColor="text2"/>
              </w:rPr>
              <w:t xml:space="preserve"> per day </w:t>
            </w:r>
          </w:p>
        </w:tc>
      </w:tr>
      <w:tr w:rsidR="001F363B" w:rsidRPr="001F363B" w14:paraId="4E10A2F8" w14:textId="77777777" w:rsidTr="001F363B">
        <w:trPr>
          <w:trHeight w:val="375"/>
        </w:trPr>
        <w:tc>
          <w:tcPr>
            <w:tcW w:w="2754" w:type="dxa"/>
            <w:tcBorders>
              <w:top w:val="single" w:sz="6" w:space="0" w:color="auto"/>
              <w:left w:val="single" w:sz="6" w:space="0" w:color="auto"/>
              <w:bottom w:val="single" w:sz="6" w:space="0" w:color="auto"/>
              <w:right w:val="single" w:sz="6" w:space="0" w:color="auto"/>
            </w:tcBorders>
            <w:vAlign w:val="center"/>
            <w:hideMark/>
          </w:tcPr>
          <w:p w14:paraId="38902FDF" w14:textId="6DBA3270" w:rsidR="001F363B" w:rsidRPr="001F363B" w:rsidRDefault="001F363B" w:rsidP="001F363B">
            <w:pPr>
              <w:rPr>
                <w:rFonts w:cs="Arial"/>
                <w:b/>
                <w:bCs/>
                <w:color w:val="1F497D" w:themeColor="text2"/>
                <w:szCs w:val="20"/>
              </w:rPr>
            </w:pPr>
            <w:r w:rsidRPr="001F363B">
              <w:rPr>
                <w:rFonts w:cs="Arial"/>
                <w:b/>
                <w:bCs/>
                <w:color w:val="1F497D" w:themeColor="text2"/>
                <w:szCs w:val="20"/>
              </w:rPr>
              <w:t>XPHOZAH 20 MG TABLET</w:t>
            </w:r>
          </w:p>
        </w:tc>
        <w:tc>
          <w:tcPr>
            <w:tcW w:w="2151" w:type="dxa"/>
            <w:tcBorders>
              <w:top w:val="single" w:sz="6" w:space="0" w:color="auto"/>
              <w:left w:val="single" w:sz="6" w:space="0" w:color="auto"/>
              <w:bottom w:val="single" w:sz="6" w:space="0" w:color="auto"/>
              <w:right w:val="single" w:sz="6" w:space="0" w:color="auto"/>
            </w:tcBorders>
            <w:vAlign w:val="center"/>
            <w:hideMark/>
          </w:tcPr>
          <w:p w14:paraId="0E894B91" w14:textId="568F775F" w:rsidR="001F363B" w:rsidRPr="001F363B" w:rsidRDefault="001F363B" w:rsidP="001F363B">
            <w:pPr>
              <w:rPr>
                <w:rFonts w:cs="Arial"/>
                <w:b/>
                <w:bCs/>
                <w:color w:val="1F497D" w:themeColor="text2"/>
                <w:szCs w:val="20"/>
              </w:rPr>
            </w:pPr>
            <w:r w:rsidRPr="001F363B">
              <w:rPr>
                <w:rFonts w:cs="Arial"/>
                <w:b/>
                <w:bCs/>
                <w:color w:val="1F497D" w:themeColor="text2"/>
                <w:szCs w:val="20"/>
              </w:rPr>
              <w:t>TENAPANOR HCL</w:t>
            </w:r>
          </w:p>
        </w:tc>
        <w:tc>
          <w:tcPr>
            <w:tcW w:w="4439" w:type="dxa"/>
            <w:tcBorders>
              <w:top w:val="single" w:sz="6" w:space="0" w:color="auto"/>
              <w:left w:val="single" w:sz="6" w:space="0" w:color="auto"/>
              <w:bottom w:val="single" w:sz="6" w:space="0" w:color="auto"/>
              <w:right w:val="single" w:sz="6" w:space="0" w:color="auto"/>
            </w:tcBorders>
            <w:vAlign w:val="center"/>
            <w:hideMark/>
          </w:tcPr>
          <w:p w14:paraId="4424AD14" w14:textId="46628176" w:rsidR="001F363B" w:rsidRPr="001F363B" w:rsidRDefault="001F363B" w:rsidP="001F363B">
            <w:pPr>
              <w:rPr>
                <w:b/>
                <w:bCs/>
                <w:color w:val="1F497D" w:themeColor="text2"/>
              </w:rPr>
            </w:pPr>
            <w:r w:rsidRPr="001F363B">
              <w:rPr>
                <w:b/>
                <w:bCs/>
                <w:color w:val="1F497D" w:themeColor="text2"/>
              </w:rPr>
              <w:t>Deny dosing more frequently than 2 tabs per day </w:t>
            </w:r>
          </w:p>
        </w:tc>
      </w:tr>
      <w:tr w:rsidR="001F363B" w:rsidRPr="001F363B" w14:paraId="47E205BA" w14:textId="77777777" w:rsidTr="001F363B">
        <w:trPr>
          <w:trHeight w:val="375"/>
        </w:trPr>
        <w:tc>
          <w:tcPr>
            <w:tcW w:w="2754" w:type="dxa"/>
            <w:tcBorders>
              <w:top w:val="single" w:sz="6" w:space="0" w:color="auto"/>
              <w:left w:val="single" w:sz="6" w:space="0" w:color="auto"/>
              <w:bottom w:val="single" w:sz="6" w:space="0" w:color="auto"/>
              <w:right w:val="single" w:sz="6" w:space="0" w:color="auto"/>
            </w:tcBorders>
            <w:vAlign w:val="center"/>
          </w:tcPr>
          <w:p w14:paraId="44AE7BCB" w14:textId="1B2DF78A" w:rsidR="001F363B" w:rsidRPr="001F363B" w:rsidRDefault="001F363B" w:rsidP="001F363B">
            <w:pPr>
              <w:rPr>
                <w:rFonts w:cs="Arial"/>
                <w:b/>
                <w:bCs/>
                <w:color w:val="1F497D" w:themeColor="text2"/>
                <w:szCs w:val="20"/>
              </w:rPr>
            </w:pPr>
            <w:r w:rsidRPr="001F363B">
              <w:rPr>
                <w:rFonts w:cs="Arial"/>
                <w:b/>
                <w:bCs/>
                <w:color w:val="1F497D" w:themeColor="text2"/>
                <w:szCs w:val="20"/>
              </w:rPr>
              <w:t>XPHOZAH 30 MG TABLET</w:t>
            </w:r>
          </w:p>
        </w:tc>
        <w:tc>
          <w:tcPr>
            <w:tcW w:w="2151" w:type="dxa"/>
            <w:tcBorders>
              <w:top w:val="single" w:sz="6" w:space="0" w:color="auto"/>
              <w:left w:val="single" w:sz="6" w:space="0" w:color="auto"/>
              <w:bottom w:val="single" w:sz="6" w:space="0" w:color="auto"/>
              <w:right w:val="single" w:sz="6" w:space="0" w:color="auto"/>
            </w:tcBorders>
            <w:vAlign w:val="center"/>
          </w:tcPr>
          <w:p w14:paraId="74CFE380" w14:textId="58E36009" w:rsidR="001F363B" w:rsidRPr="001F363B" w:rsidRDefault="001F363B" w:rsidP="001F363B">
            <w:pPr>
              <w:rPr>
                <w:rFonts w:cs="Arial"/>
                <w:b/>
                <w:bCs/>
                <w:color w:val="1F497D" w:themeColor="text2"/>
                <w:szCs w:val="20"/>
              </w:rPr>
            </w:pPr>
            <w:r w:rsidRPr="001F363B">
              <w:rPr>
                <w:rFonts w:cs="Arial"/>
                <w:b/>
                <w:bCs/>
                <w:color w:val="1F497D" w:themeColor="text2"/>
                <w:szCs w:val="20"/>
              </w:rPr>
              <w:t>TENAPANOR HCL</w:t>
            </w:r>
          </w:p>
        </w:tc>
        <w:tc>
          <w:tcPr>
            <w:tcW w:w="4439" w:type="dxa"/>
            <w:tcBorders>
              <w:top w:val="single" w:sz="6" w:space="0" w:color="auto"/>
              <w:left w:val="single" w:sz="6" w:space="0" w:color="auto"/>
              <w:bottom w:val="single" w:sz="6" w:space="0" w:color="auto"/>
              <w:right w:val="single" w:sz="6" w:space="0" w:color="auto"/>
            </w:tcBorders>
            <w:vAlign w:val="center"/>
          </w:tcPr>
          <w:p w14:paraId="66578DA6" w14:textId="47B845F4" w:rsidR="001F363B" w:rsidRPr="001F363B" w:rsidRDefault="001F363B" w:rsidP="001F363B">
            <w:pPr>
              <w:rPr>
                <w:b/>
                <w:bCs/>
                <w:color w:val="1F497D" w:themeColor="text2"/>
              </w:rPr>
            </w:pPr>
            <w:r w:rsidRPr="001F363B">
              <w:rPr>
                <w:b/>
                <w:bCs/>
                <w:color w:val="1F497D" w:themeColor="text2"/>
              </w:rPr>
              <w:t>Deny dosing more frequently than 2 tabs per day </w:t>
            </w:r>
          </w:p>
        </w:tc>
      </w:tr>
    </w:tbl>
    <w:p w14:paraId="6840FDA3" w14:textId="77777777" w:rsidR="00422385" w:rsidRPr="00994B73" w:rsidRDefault="00422385" w:rsidP="00422385"/>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20C6B95" w:rsidR="00343D6B" w:rsidRPr="00C02553" w:rsidRDefault="00343D6B" w:rsidP="00696E3A">
      <w:r w:rsidRPr="00696E3A">
        <w:rPr>
          <w:b/>
          <w:bCs/>
        </w:rPr>
        <w:t>Default Approval Period:</w:t>
      </w:r>
      <w:r w:rsidR="00973BD6">
        <w:t xml:space="preserve"> </w:t>
      </w:r>
      <w:r w:rsidR="000A3C81">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lastRenderedPageBreak/>
        <w:t>References</w:t>
      </w:r>
    </w:p>
    <w:p w14:paraId="0C8C8FFB" w14:textId="15C35F61" w:rsidR="0049545F" w:rsidRPr="003D0DD6" w:rsidRDefault="0049545F" w:rsidP="6F821E24">
      <w:pPr>
        <w:numPr>
          <w:ilvl w:val="0"/>
          <w:numId w:val="27"/>
        </w:numPr>
        <w:rPr>
          <w:rFonts w:cs="Arial"/>
        </w:rPr>
      </w:pPr>
      <w:bookmarkStart w:id="2" w:name="_Hlk34121003"/>
      <w:r w:rsidRPr="77288651">
        <w:rPr>
          <w:rFonts w:cs="Arial"/>
        </w:rPr>
        <w:t xml:space="preserve">Evidence-Based Medicine Analysis: “Electrolyte Depleters, Phosphate Lowering Agents”, UMKC-DIC; </w:t>
      </w:r>
      <w:r w:rsidR="54E5C0B3" w:rsidRPr="77288651">
        <w:rPr>
          <w:rFonts w:cs="Arial"/>
        </w:rPr>
        <w:t>June</w:t>
      </w:r>
      <w:r w:rsidRPr="77288651">
        <w:rPr>
          <w:rFonts w:cs="Arial"/>
        </w:rPr>
        <w:t xml:space="preserve"> 202</w:t>
      </w:r>
      <w:r w:rsidR="4659BEC9" w:rsidRPr="77288651">
        <w:rPr>
          <w:rFonts w:cs="Arial"/>
        </w:rPr>
        <w:t>6</w:t>
      </w:r>
      <w:r w:rsidRPr="77288651">
        <w:rPr>
          <w:rFonts w:cs="Arial"/>
        </w:rPr>
        <w:t>.</w:t>
      </w:r>
    </w:p>
    <w:p w14:paraId="077C4D67" w14:textId="77777777" w:rsidR="0049545F" w:rsidRPr="001F7B51" w:rsidRDefault="0049545F" w:rsidP="0049545F">
      <w:pPr>
        <w:numPr>
          <w:ilvl w:val="0"/>
          <w:numId w:val="27"/>
        </w:numPr>
        <w:rPr>
          <w:rFonts w:cs="Arial"/>
        </w:rPr>
      </w:pPr>
      <w:r w:rsidRPr="003A1DC6">
        <w:rPr>
          <w:rFonts w:cs="Arial"/>
        </w:rPr>
        <w:t>Evidence-Based Medicine and Fiscal Analysis: “</w:t>
      </w:r>
      <w:r w:rsidRPr="00C82AD5">
        <w:rPr>
          <w:rFonts w:cs="Arial"/>
        </w:rPr>
        <w:t>Electrolyte Depleters, Phosphate Lowering Agents</w:t>
      </w:r>
      <w:r>
        <w:rPr>
          <w:rFonts w:cs="Arial"/>
        </w:rPr>
        <w:t xml:space="preserve"> </w:t>
      </w:r>
      <w:r w:rsidRPr="003A1DC6">
        <w:rPr>
          <w:rFonts w:cs="Arial"/>
        </w:rPr>
        <w:t>– Therapeutic Class Review</w:t>
      </w:r>
      <w:r>
        <w:rPr>
          <w:rFonts w:cs="Arial"/>
        </w:rPr>
        <w:t>” – Gainwell Technologies; last updated August 25, 2025.</w:t>
      </w:r>
    </w:p>
    <w:bookmarkEnd w:id="2"/>
    <w:p w14:paraId="46B22B41" w14:textId="7D4A8395" w:rsidR="0049545F" w:rsidRDefault="0049545F" w:rsidP="0049545F">
      <w:pPr>
        <w:numPr>
          <w:ilvl w:val="0"/>
          <w:numId w:val="27"/>
        </w:numPr>
        <w:rPr>
          <w:rFonts w:cs="Arial"/>
          <w:szCs w:val="20"/>
        </w:rPr>
      </w:pPr>
      <w:r w:rsidRPr="00BC5635">
        <w:rPr>
          <w:rFonts w:cs="Arial"/>
          <w:szCs w:val="20"/>
        </w:rPr>
        <w:t>USPDI, Micromedex; 202</w:t>
      </w:r>
      <w:r w:rsidR="00A92AE6">
        <w:rPr>
          <w:rFonts w:cs="Arial"/>
          <w:szCs w:val="20"/>
        </w:rPr>
        <w:t>6</w:t>
      </w:r>
      <w:r>
        <w:rPr>
          <w:rFonts w:cs="Arial"/>
          <w:szCs w:val="20"/>
        </w:rPr>
        <w:t>.</w:t>
      </w:r>
    </w:p>
    <w:p w14:paraId="3C32375A" w14:textId="51D8ED7E" w:rsidR="0049545F" w:rsidRPr="0021521F" w:rsidRDefault="0049545F" w:rsidP="0049545F">
      <w:pPr>
        <w:numPr>
          <w:ilvl w:val="0"/>
          <w:numId w:val="27"/>
        </w:numPr>
        <w:rPr>
          <w:rFonts w:cs="Arial"/>
          <w:szCs w:val="20"/>
        </w:rPr>
      </w:pPr>
      <w:r w:rsidRPr="00BC5635">
        <w:rPr>
          <w:rFonts w:cs="Arial"/>
          <w:szCs w:val="20"/>
        </w:rPr>
        <w:t>Facts and Comparisons eAnswers (online); 202</w:t>
      </w:r>
      <w:r w:rsidR="00A92AE6">
        <w:rPr>
          <w:rFonts w:cs="Arial"/>
          <w:szCs w:val="20"/>
        </w:rPr>
        <w:t>6</w:t>
      </w:r>
      <w:r w:rsidRPr="00BC5635">
        <w:rPr>
          <w:rFonts w:cs="Arial"/>
          <w:szCs w:val="20"/>
        </w:rPr>
        <w:t xml:space="preserve"> Clinical Drug Information, LLC.</w:t>
      </w:r>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0E07" w14:textId="77777777" w:rsidR="00295730" w:rsidRPr="00C02553" w:rsidRDefault="00295730" w:rsidP="00AE77DB">
      <w:r w:rsidRPr="00C02553">
        <w:separator/>
      </w:r>
    </w:p>
  </w:endnote>
  <w:endnote w:type="continuationSeparator" w:id="0">
    <w:p w14:paraId="6F54FB92" w14:textId="77777777" w:rsidR="00295730" w:rsidRPr="00C02553" w:rsidRDefault="00295730" w:rsidP="00AE77DB">
      <w:r w:rsidRPr="00C02553">
        <w:continuationSeparator/>
      </w:r>
    </w:p>
  </w:endnote>
  <w:endnote w:type="continuationNotice" w:id="1">
    <w:p w14:paraId="0CFF9101" w14:textId="77777777" w:rsidR="00295730" w:rsidRPr="00C02553" w:rsidRDefault="00295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BC6B1" w14:textId="77777777" w:rsidR="00295730" w:rsidRPr="00C02553" w:rsidRDefault="00295730" w:rsidP="00AE77DB">
      <w:r w:rsidRPr="00C02553">
        <w:separator/>
      </w:r>
    </w:p>
  </w:footnote>
  <w:footnote w:type="continuationSeparator" w:id="0">
    <w:p w14:paraId="2E36E9DE" w14:textId="77777777" w:rsidR="00295730" w:rsidRPr="00C02553" w:rsidRDefault="00295730" w:rsidP="00AE77DB">
      <w:r w:rsidRPr="00C02553">
        <w:continuationSeparator/>
      </w:r>
    </w:p>
  </w:footnote>
  <w:footnote w:type="continuationNotice" w:id="1">
    <w:p w14:paraId="799F5BCF" w14:textId="77777777" w:rsidR="00295730" w:rsidRPr="00C02553" w:rsidRDefault="002957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F884561" w:rsidR="00006A61" w:rsidRPr="00C02553" w:rsidRDefault="0083293D">
    <w:pPr>
      <w:pStyle w:val="Header"/>
      <w:framePr w:wrap="around" w:vAnchor="text" w:hAnchor="margin" w:xAlign="right" w:y="1"/>
      <w:rPr>
        <w:rStyle w:val="PageNumber"/>
        <w:rFonts w:ascii="Times New Roman" w:hAnsi="Times New Roman"/>
      </w:rPr>
    </w:pPr>
    <w:r>
      <w:rPr>
        <w:noProof/>
      </w:rPr>
      <w:pict w14:anchorId="08F7A5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21922"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577CE90" w:rsidR="00596936" w:rsidRDefault="0083293D">
    <w:pPr>
      <w:pStyle w:val="Header"/>
    </w:pPr>
    <w:r>
      <w:rPr>
        <w:noProof/>
      </w:rPr>
      <w:pict w14:anchorId="08E49D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21923"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3331A2B" w:rsidR="00006A61" w:rsidRPr="00C02553" w:rsidRDefault="0083293D">
    <w:pPr>
      <w:pStyle w:val="Header"/>
      <w:rPr>
        <w:rFonts w:ascii="Times New Roman" w:hAnsi="Times New Roman"/>
      </w:rPr>
    </w:pPr>
    <w:r>
      <w:rPr>
        <w:noProof/>
      </w:rPr>
      <w:pict w14:anchorId="5BC442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21921"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5FD19F9"/>
    <w:multiLevelType w:val="hybridMultilevel"/>
    <w:tmpl w:val="04AA43C0"/>
    <w:lvl w:ilvl="0" w:tplc="D35C0460">
      <w:start w:val="1"/>
      <w:numFmt w:val="bullet"/>
      <w:lvlText w:val=""/>
      <w:lvlJc w:val="left"/>
      <w:pPr>
        <w:tabs>
          <w:tab w:val="num" w:pos="540"/>
        </w:tabs>
        <w:ind w:left="540" w:hanging="360"/>
      </w:pPr>
      <w:rPr>
        <w:rFonts w:ascii="Symbol" w:hAnsi="Symbol" w:hint="default"/>
        <w:sz w:val="20"/>
      </w:rPr>
    </w:lvl>
    <w:lvl w:ilvl="1" w:tplc="04090003">
      <w:start w:val="1"/>
      <w:numFmt w:val="bullet"/>
      <w:lvlText w:val="o"/>
      <w:lvlJc w:val="left"/>
      <w:pPr>
        <w:tabs>
          <w:tab w:val="num" w:pos="1460"/>
        </w:tabs>
        <w:ind w:left="14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AB52F83E"/>
    <w:lvl w:ilvl="0" w:tplc="206899E8">
      <w:start w:val="1"/>
      <w:numFmt w:val="bullet"/>
      <w:lvlText w:val=""/>
      <w:lvlJc w:val="left"/>
      <w:pPr>
        <w:ind w:left="360" w:hanging="360"/>
      </w:pPr>
      <w:rPr>
        <w:rFonts w:ascii="Symbol" w:hAnsi="Symbol" w:hint="default"/>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EBC0BF1"/>
    <w:multiLevelType w:val="hybridMultilevel"/>
    <w:tmpl w:val="78B0869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6"/>
  </w:num>
  <w:num w:numId="3" w16cid:durableId="1729067566">
    <w:abstractNumId w:val="4"/>
  </w:num>
  <w:num w:numId="4" w16cid:durableId="320159068">
    <w:abstractNumId w:val="11"/>
  </w:num>
  <w:num w:numId="5" w16cid:durableId="1769498754">
    <w:abstractNumId w:val="3"/>
  </w:num>
  <w:num w:numId="6" w16cid:durableId="1094596320">
    <w:abstractNumId w:val="22"/>
  </w:num>
  <w:num w:numId="7" w16cid:durableId="2110008555">
    <w:abstractNumId w:val="2"/>
  </w:num>
  <w:num w:numId="8" w16cid:durableId="489712751">
    <w:abstractNumId w:val="9"/>
  </w:num>
  <w:num w:numId="9" w16cid:durableId="1085147965">
    <w:abstractNumId w:val="15"/>
  </w:num>
  <w:num w:numId="10" w16cid:durableId="917518096">
    <w:abstractNumId w:val="12"/>
  </w:num>
  <w:num w:numId="11" w16cid:durableId="1894998475">
    <w:abstractNumId w:val="1"/>
  </w:num>
  <w:num w:numId="12" w16cid:durableId="1418215296">
    <w:abstractNumId w:val="23"/>
  </w:num>
  <w:num w:numId="13" w16cid:durableId="604729665">
    <w:abstractNumId w:val="8"/>
  </w:num>
  <w:num w:numId="14" w16cid:durableId="1805081292">
    <w:abstractNumId w:val="17"/>
  </w:num>
  <w:num w:numId="15" w16cid:durableId="723600171">
    <w:abstractNumId w:val="13"/>
  </w:num>
  <w:num w:numId="16" w16cid:durableId="1801653055">
    <w:abstractNumId w:val="5"/>
  </w:num>
  <w:num w:numId="17" w16cid:durableId="2063867432">
    <w:abstractNumId w:val="24"/>
  </w:num>
  <w:num w:numId="18" w16cid:durableId="198008564">
    <w:abstractNumId w:val="21"/>
  </w:num>
  <w:num w:numId="19" w16cid:durableId="31423068">
    <w:abstractNumId w:val="25"/>
  </w:num>
  <w:num w:numId="20" w16cid:durableId="2111313785">
    <w:abstractNumId w:val="14"/>
  </w:num>
  <w:num w:numId="21" w16cid:durableId="1834494073">
    <w:abstractNumId w:val="19"/>
  </w:num>
  <w:num w:numId="22" w16cid:durableId="1593589468">
    <w:abstractNumId w:val="7"/>
  </w:num>
  <w:num w:numId="23" w16cid:durableId="1710179139">
    <w:abstractNumId w:val="6"/>
  </w:num>
  <w:num w:numId="24" w16cid:durableId="2082870341">
    <w:abstractNumId w:val="18"/>
  </w:num>
  <w:num w:numId="25" w16cid:durableId="1503008646">
    <w:abstractNumId w:val="10"/>
  </w:num>
  <w:num w:numId="26" w16cid:durableId="1415735822">
    <w:abstractNumId w:val="16"/>
  </w:num>
  <w:num w:numId="27" w16cid:durableId="99448064">
    <w:abstractNumId w:val="20"/>
  </w:num>
  <w:num w:numId="28" w16cid:durableId="1394503297">
    <w:abstractNumId w:val="22"/>
  </w:num>
  <w:num w:numId="29" w16cid:durableId="2129544275">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mP0L7ndqL3jC1+pnij3pZUAxSOWj8UOok/tQJ33qxh8gVdkp1OU9FPQLMJu/6etHqLxPa0V8ALbvEn1utpcwQ==" w:salt="H4yTsGP4tjAjX7S2sYZ0w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4C0E"/>
    <w:rsid w:val="000276D9"/>
    <w:rsid w:val="00036A3F"/>
    <w:rsid w:val="00040AD3"/>
    <w:rsid w:val="00040EE3"/>
    <w:rsid w:val="00043ED7"/>
    <w:rsid w:val="0005160A"/>
    <w:rsid w:val="000537F9"/>
    <w:rsid w:val="00053807"/>
    <w:rsid w:val="000572E5"/>
    <w:rsid w:val="00061541"/>
    <w:rsid w:val="00064162"/>
    <w:rsid w:val="00065C22"/>
    <w:rsid w:val="00074464"/>
    <w:rsid w:val="00076030"/>
    <w:rsid w:val="00082590"/>
    <w:rsid w:val="0008482F"/>
    <w:rsid w:val="000913C3"/>
    <w:rsid w:val="000949D7"/>
    <w:rsid w:val="000953B9"/>
    <w:rsid w:val="000977BD"/>
    <w:rsid w:val="000A01A3"/>
    <w:rsid w:val="000A3C81"/>
    <w:rsid w:val="000A413B"/>
    <w:rsid w:val="000A6279"/>
    <w:rsid w:val="000B496B"/>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A50CB"/>
    <w:rsid w:val="001A74B7"/>
    <w:rsid w:val="001B2D47"/>
    <w:rsid w:val="001C0250"/>
    <w:rsid w:val="001C4621"/>
    <w:rsid w:val="001C6DA4"/>
    <w:rsid w:val="001C6E56"/>
    <w:rsid w:val="001C73B1"/>
    <w:rsid w:val="001D1E7D"/>
    <w:rsid w:val="001D3996"/>
    <w:rsid w:val="001D6567"/>
    <w:rsid w:val="001E2CCB"/>
    <w:rsid w:val="001E4CBA"/>
    <w:rsid w:val="001E523C"/>
    <w:rsid w:val="001E61DF"/>
    <w:rsid w:val="001F2366"/>
    <w:rsid w:val="001F2B9F"/>
    <w:rsid w:val="001F363B"/>
    <w:rsid w:val="001F3A33"/>
    <w:rsid w:val="001F5954"/>
    <w:rsid w:val="00202DD3"/>
    <w:rsid w:val="00206E7D"/>
    <w:rsid w:val="00212010"/>
    <w:rsid w:val="00217E14"/>
    <w:rsid w:val="00217EFD"/>
    <w:rsid w:val="00222134"/>
    <w:rsid w:val="0022233F"/>
    <w:rsid w:val="00226275"/>
    <w:rsid w:val="00246564"/>
    <w:rsid w:val="00246A3B"/>
    <w:rsid w:val="00250697"/>
    <w:rsid w:val="00255404"/>
    <w:rsid w:val="0025594F"/>
    <w:rsid w:val="00270C5E"/>
    <w:rsid w:val="00274999"/>
    <w:rsid w:val="00284933"/>
    <w:rsid w:val="00290A03"/>
    <w:rsid w:val="0029159A"/>
    <w:rsid w:val="00291600"/>
    <w:rsid w:val="00295730"/>
    <w:rsid w:val="002A02F4"/>
    <w:rsid w:val="002A3D2A"/>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4FF0"/>
    <w:rsid w:val="00347FB5"/>
    <w:rsid w:val="00350878"/>
    <w:rsid w:val="003533C6"/>
    <w:rsid w:val="00355515"/>
    <w:rsid w:val="003608B5"/>
    <w:rsid w:val="003613AF"/>
    <w:rsid w:val="003756DE"/>
    <w:rsid w:val="0038100A"/>
    <w:rsid w:val="003878C1"/>
    <w:rsid w:val="003932B1"/>
    <w:rsid w:val="00396C0B"/>
    <w:rsid w:val="003974C4"/>
    <w:rsid w:val="003A09B9"/>
    <w:rsid w:val="003A630F"/>
    <w:rsid w:val="003B3958"/>
    <w:rsid w:val="003B4820"/>
    <w:rsid w:val="003B5EDB"/>
    <w:rsid w:val="003B5F4B"/>
    <w:rsid w:val="003B682F"/>
    <w:rsid w:val="003C53FC"/>
    <w:rsid w:val="003C7013"/>
    <w:rsid w:val="003D641B"/>
    <w:rsid w:val="003F227C"/>
    <w:rsid w:val="003F6981"/>
    <w:rsid w:val="004023CC"/>
    <w:rsid w:val="00402429"/>
    <w:rsid w:val="004033D0"/>
    <w:rsid w:val="00407564"/>
    <w:rsid w:val="00411152"/>
    <w:rsid w:val="004156AA"/>
    <w:rsid w:val="00422385"/>
    <w:rsid w:val="004253A1"/>
    <w:rsid w:val="004313B6"/>
    <w:rsid w:val="00433339"/>
    <w:rsid w:val="00442817"/>
    <w:rsid w:val="00446BBC"/>
    <w:rsid w:val="004471D2"/>
    <w:rsid w:val="004472C0"/>
    <w:rsid w:val="00450705"/>
    <w:rsid w:val="00451928"/>
    <w:rsid w:val="00454D4C"/>
    <w:rsid w:val="0046618B"/>
    <w:rsid w:val="00472D34"/>
    <w:rsid w:val="0048608C"/>
    <w:rsid w:val="0049545F"/>
    <w:rsid w:val="00496E57"/>
    <w:rsid w:val="004A6FA4"/>
    <w:rsid w:val="004B3E10"/>
    <w:rsid w:val="004C0F5D"/>
    <w:rsid w:val="004C375A"/>
    <w:rsid w:val="004C4954"/>
    <w:rsid w:val="004C5767"/>
    <w:rsid w:val="004D5322"/>
    <w:rsid w:val="004D78B0"/>
    <w:rsid w:val="004E5393"/>
    <w:rsid w:val="004E611F"/>
    <w:rsid w:val="004F2A79"/>
    <w:rsid w:val="004F4D37"/>
    <w:rsid w:val="00501A14"/>
    <w:rsid w:val="00501DE3"/>
    <w:rsid w:val="005058CB"/>
    <w:rsid w:val="0051044D"/>
    <w:rsid w:val="005139E4"/>
    <w:rsid w:val="00513E56"/>
    <w:rsid w:val="00515075"/>
    <w:rsid w:val="00520FE9"/>
    <w:rsid w:val="00522563"/>
    <w:rsid w:val="005233E7"/>
    <w:rsid w:val="005328B2"/>
    <w:rsid w:val="00535BD5"/>
    <w:rsid w:val="00540977"/>
    <w:rsid w:val="00551668"/>
    <w:rsid w:val="005572D5"/>
    <w:rsid w:val="00565873"/>
    <w:rsid w:val="00566BE4"/>
    <w:rsid w:val="00570D21"/>
    <w:rsid w:val="00576113"/>
    <w:rsid w:val="00590652"/>
    <w:rsid w:val="0059235F"/>
    <w:rsid w:val="00596936"/>
    <w:rsid w:val="005A2F1E"/>
    <w:rsid w:val="005A4232"/>
    <w:rsid w:val="005B0FAB"/>
    <w:rsid w:val="005C3616"/>
    <w:rsid w:val="005C4B58"/>
    <w:rsid w:val="005C4DFF"/>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180E"/>
    <w:rsid w:val="00635DDB"/>
    <w:rsid w:val="0064149A"/>
    <w:rsid w:val="00642CD9"/>
    <w:rsid w:val="00646DFE"/>
    <w:rsid w:val="00650530"/>
    <w:rsid w:val="00650C96"/>
    <w:rsid w:val="00653165"/>
    <w:rsid w:val="00653788"/>
    <w:rsid w:val="0065477F"/>
    <w:rsid w:val="00656896"/>
    <w:rsid w:val="00661656"/>
    <w:rsid w:val="00677C65"/>
    <w:rsid w:val="00685078"/>
    <w:rsid w:val="0068617A"/>
    <w:rsid w:val="00693152"/>
    <w:rsid w:val="00694FAE"/>
    <w:rsid w:val="00696E3A"/>
    <w:rsid w:val="006A0834"/>
    <w:rsid w:val="006A4BBD"/>
    <w:rsid w:val="006A52F1"/>
    <w:rsid w:val="006B561D"/>
    <w:rsid w:val="006B6D5D"/>
    <w:rsid w:val="006D2330"/>
    <w:rsid w:val="006E0F8B"/>
    <w:rsid w:val="006E12F7"/>
    <w:rsid w:val="006E7FBE"/>
    <w:rsid w:val="006F700D"/>
    <w:rsid w:val="006F74A6"/>
    <w:rsid w:val="007068A4"/>
    <w:rsid w:val="00706D67"/>
    <w:rsid w:val="007116EC"/>
    <w:rsid w:val="00713052"/>
    <w:rsid w:val="00713DB8"/>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6AAA"/>
    <w:rsid w:val="00777CA4"/>
    <w:rsid w:val="00792DF0"/>
    <w:rsid w:val="0079438F"/>
    <w:rsid w:val="00796C6F"/>
    <w:rsid w:val="00796C75"/>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2642D"/>
    <w:rsid w:val="00832211"/>
    <w:rsid w:val="008325F4"/>
    <w:rsid w:val="0083293D"/>
    <w:rsid w:val="00832AC8"/>
    <w:rsid w:val="00834532"/>
    <w:rsid w:val="00846FA4"/>
    <w:rsid w:val="008524BA"/>
    <w:rsid w:val="00852B74"/>
    <w:rsid w:val="008560C7"/>
    <w:rsid w:val="00856928"/>
    <w:rsid w:val="00865538"/>
    <w:rsid w:val="00870875"/>
    <w:rsid w:val="008759C3"/>
    <w:rsid w:val="0088225C"/>
    <w:rsid w:val="00884026"/>
    <w:rsid w:val="00884C78"/>
    <w:rsid w:val="008859E1"/>
    <w:rsid w:val="00896264"/>
    <w:rsid w:val="008A5D88"/>
    <w:rsid w:val="008B2851"/>
    <w:rsid w:val="008C000E"/>
    <w:rsid w:val="008C204D"/>
    <w:rsid w:val="008C3F5B"/>
    <w:rsid w:val="008D0F2F"/>
    <w:rsid w:val="008D237F"/>
    <w:rsid w:val="008D6B05"/>
    <w:rsid w:val="008E248E"/>
    <w:rsid w:val="008E7D2D"/>
    <w:rsid w:val="008F44C0"/>
    <w:rsid w:val="008F5999"/>
    <w:rsid w:val="00903AD6"/>
    <w:rsid w:val="00904D7A"/>
    <w:rsid w:val="00915332"/>
    <w:rsid w:val="009204BB"/>
    <w:rsid w:val="00935918"/>
    <w:rsid w:val="00935EC3"/>
    <w:rsid w:val="009506C4"/>
    <w:rsid w:val="00951097"/>
    <w:rsid w:val="00953C1E"/>
    <w:rsid w:val="00955F9F"/>
    <w:rsid w:val="0096210F"/>
    <w:rsid w:val="00962633"/>
    <w:rsid w:val="00963187"/>
    <w:rsid w:val="00963ACF"/>
    <w:rsid w:val="00963D1C"/>
    <w:rsid w:val="009641F5"/>
    <w:rsid w:val="00964284"/>
    <w:rsid w:val="0097028A"/>
    <w:rsid w:val="00973BD6"/>
    <w:rsid w:val="00984549"/>
    <w:rsid w:val="00985D28"/>
    <w:rsid w:val="009861D6"/>
    <w:rsid w:val="00991BF0"/>
    <w:rsid w:val="00994B73"/>
    <w:rsid w:val="009A0FB1"/>
    <w:rsid w:val="009A1FAC"/>
    <w:rsid w:val="009B001A"/>
    <w:rsid w:val="009B1A62"/>
    <w:rsid w:val="009C3CC7"/>
    <w:rsid w:val="009D1CAF"/>
    <w:rsid w:val="009D2057"/>
    <w:rsid w:val="009D3D6C"/>
    <w:rsid w:val="009D4AD8"/>
    <w:rsid w:val="009D5551"/>
    <w:rsid w:val="009D62DB"/>
    <w:rsid w:val="009E3B42"/>
    <w:rsid w:val="009F0FFD"/>
    <w:rsid w:val="00A05B60"/>
    <w:rsid w:val="00A13266"/>
    <w:rsid w:val="00A14FA6"/>
    <w:rsid w:val="00A15D64"/>
    <w:rsid w:val="00A2034D"/>
    <w:rsid w:val="00A20575"/>
    <w:rsid w:val="00A31491"/>
    <w:rsid w:val="00A32452"/>
    <w:rsid w:val="00A32BBF"/>
    <w:rsid w:val="00A37444"/>
    <w:rsid w:val="00A4281A"/>
    <w:rsid w:val="00A459CF"/>
    <w:rsid w:val="00A5014D"/>
    <w:rsid w:val="00A53E96"/>
    <w:rsid w:val="00A54D90"/>
    <w:rsid w:val="00A56F18"/>
    <w:rsid w:val="00A60EC4"/>
    <w:rsid w:val="00A628F8"/>
    <w:rsid w:val="00A62BAA"/>
    <w:rsid w:val="00A66172"/>
    <w:rsid w:val="00A742E5"/>
    <w:rsid w:val="00A744C3"/>
    <w:rsid w:val="00A74A4E"/>
    <w:rsid w:val="00A84334"/>
    <w:rsid w:val="00A92AE6"/>
    <w:rsid w:val="00A9528A"/>
    <w:rsid w:val="00A959A0"/>
    <w:rsid w:val="00AA4E5D"/>
    <w:rsid w:val="00AA70AB"/>
    <w:rsid w:val="00AB0B9F"/>
    <w:rsid w:val="00AB1713"/>
    <w:rsid w:val="00AB21D0"/>
    <w:rsid w:val="00AB63BE"/>
    <w:rsid w:val="00AC1EBC"/>
    <w:rsid w:val="00AC2599"/>
    <w:rsid w:val="00AC2DE9"/>
    <w:rsid w:val="00AC72D5"/>
    <w:rsid w:val="00AD2C5F"/>
    <w:rsid w:val="00AE1481"/>
    <w:rsid w:val="00AE27F9"/>
    <w:rsid w:val="00AE3035"/>
    <w:rsid w:val="00AE510B"/>
    <w:rsid w:val="00AE77DB"/>
    <w:rsid w:val="00AF7453"/>
    <w:rsid w:val="00B00FFF"/>
    <w:rsid w:val="00B06084"/>
    <w:rsid w:val="00B063FF"/>
    <w:rsid w:val="00B16735"/>
    <w:rsid w:val="00B17EDE"/>
    <w:rsid w:val="00B22585"/>
    <w:rsid w:val="00B33693"/>
    <w:rsid w:val="00B33DFE"/>
    <w:rsid w:val="00B34C53"/>
    <w:rsid w:val="00B45224"/>
    <w:rsid w:val="00B507A5"/>
    <w:rsid w:val="00B52475"/>
    <w:rsid w:val="00B535DA"/>
    <w:rsid w:val="00B56DCC"/>
    <w:rsid w:val="00B56F54"/>
    <w:rsid w:val="00B623CD"/>
    <w:rsid w:val="00B638C2"/>
    <w:rsid w:val="00B758AB"/>
    <w:rsid w:val="00B76277"/>
    <w:rsid w:val="00B772AB"/>
    <w:rsid w:val="00B77928"/>
    <w:rsid w:val="00B80395"/>
    <w:rsid w:val="00B80B56"/>
    <w:rsid w:val="00B814FD"/>
    <w:rsid w:val="00B86372"/>
    <w:rsid w:val="00BA1C17"/>
    <w:rsid w:val="00BA1D65"/>
    <w:rsid w:val="00BB2A66"/>
    <w:rsid w:val="00BB3B4D"/>
    <w:rsid w:val="00BB6E5A"/>
    <w:rsid w:val="00BC351E"/>
    <w:rsid w:val="00BC3F77"/>
    <w:rsid w:val="00BC5635"/>
    <w:rsid w:val="00BC5675"/>
    <w:rsid w:val="00BD081C"/>
    <w:rsid w:val="00BD277B"/>
    <w:rsid w:val="00BD47CA"/>
    <w:rsid w:val="00BD62C7"/>
    <w:rsid w:val="00BE020D"/>
    <w:rsid w:val="00BE354A"/>
    <w:rsid w:val="00BE44F0"/>
    <w:rsid w:val="00BF5EEF"/>
    <w:rsid w:val="00C02553"/>
    <w:rsid w:val="00C04EB6"/>
    <w:rsid w:val="00C056F9"/>
    <w:rsid w:val="00C1018C"/>
    <w:rsid w:val="00C1150E"/>
    <w:rsid w:val="00C14D52"/>
    <w:rsid w:val="00C2417D"/>
    <w:rsid w:val="00C2586C"/>
    <w:rsid w:val="00C26001"/>
    <w:rsid w:val="00C34E72"/>
    <w:rsid w:val="00C375DF"/>
    <w:rsid w:val="00C56B1F"/>
    <w:rsid w:val="00C61B52"/>
    <w:rsid w:val="00C62745"/>
    <w:rsid w:val="00C654CA"/>
    <w:rsid w:val="00C7148F"/>
    <w:rsid w:val="00C73570"/>
    <w:rsid w:val="00C763BD"/>
    <w:rsid w:val="00C779A8"/>
    <w:rsid w:val="00C82B85"/>
    <w:rsid w:val="00C82E19"/>
    <w:rsid w:val="00C82F36"/>
    <w:rsid w:val="00C96873"/>
    <w:rsid w:val="00CA1735"/>
    <w:rsid w:val="00CA3C4B"/>
    <w:rsid w:val="00CA7252"/>
    <w:rsid w:val="00CB2C5A"/>
    <w:rsid w:val="00CE0C1C"/>
    <w:rsid w:val="00CE34AF"/>
    <w:rsid w:val="00CF00A4"/>
    <w:rsid w:val="00CF0B0D"/>
    <w:rsid w:val="00CF25FB"/>
    <w:rsid w:val="00CF614C"/>
    <w:rsid w:val="00D02F34"/>
    <w:rsid w:val="00D043E4"/>
    <w:rsid w:val="00D13D87"/>
    <w:rsid w:val="00D151D0"/>
    <w:rsid w:val="00D16590"/>
    <w:rsid w:val="00D20720"/>
    <w:rsid w:val="00D238E7"/>
    <w:rsid w:val="00D250D9"/>
    <w:rsid w:val="00D27533"/>
    <w:rsid w:val="00D335EF"/>
    <w:rsid w:val="00D42DA3"/>
    <w:rsid w:val="00D4546D"/>
    <w:rsid w:val="00D4641A"/>
    <w:rsid w:val="00D47996"/>
    <w:rsid w:val="00D61118"/>
    <w:rsid w:val="00D614F1"/>
    <w:rsid w:val="00D70D50"/>
    <w:rsid w:val="00D71917"/>
    <w:rsid w:val="00D932D0"/>
    <w:rsid w:val="00D94D2D"/>
    <w:rsid w:val="00D97395"/>
    <w:rsid w:val="00DA3A0F"/>
    <w:rsid w:val="00DA4E62"/>
    <w:rsid w:val="00DA6990"/>
    <w:rsid w:val="00DB27BA"/>
    <w:rsid w:val="00DB337A"/>
    <w:rsid w:val="00DC51CB"/>
    <w:rsid w:val="00DD4819"/>
    <w:rsid w:val="00DD4B8A"/>
    <w:rsid w:val="00DD5403"/>
    <w:rsid w:val="00DE1388"/>
    <w:rsid w:val="00DE7501"/>
    <w:rsid w:val="00DE7C84"/>
    <w:rsid w:val="00DF263E"/>
    <w:rsid w:val="00DF28B3"/>
    <w:rsid w:val="00DF3146"/>
    <w:rsid w:val="00DF57C3"/>
    <w:rsid w:val="00DF6CCF"/>
    <w:rsid w:val="00E008D9"/>
    <w:rsid w:val="00E02FE0"/>
    <w:rsid w:val="00E07ABE"/>
    <w:rsid w:val="00E11A3F"/>
    <w:rsid w:val="00E1386E"/>
    <w:rsid w:val="00E148BD"/>
    <w:rsid w:val="00E2369B"/>
    <w:rsid w:val="00E23EC0"/>
    <w:rsid w:val="00E354AA"/>
    <w:rsid w:val="00E43D54"/>
    <w:rsid w:val="00E442FB"/>
    <w:rsid w:val="00E529DB"/>
    <w:rsid w:val="00E53A5E"/>
    <w:rsid w:val="00E57D52"/>
    <w:rsid w:val="00E6466A"/>
    <w:rsid w:val="00E67B01"/>
    <w:rsid w:val="00E72221"/>
    <w:rsid w:val="00E83428"/>
    <w:rsid w:val="00E8363A"/>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1788"/>
    <w:rsid w:val="00F03898"/>
    <w:rsid w:val="00F06338"/>
    <w:rsid w:val="00F07A27"/>
    <w:rsid w:val="00F1527A"/>
    <w:rsid w:val="00F1715D"/>
    <w:rsid w:val="00F2696B"/>
    <w:rsid w:val="00F27821"/>
    <w:rsid w:val="00F311E6"/>
    <w:rsid w:val="00F4092A"/>
    <w:rsid w:val="00F41F69"/>
    <w:rsid w:val="00F43E41"/>
    <w:rsid w:val="00F4790C"/>
    <w:rsid w:val="00F50C4B"/>
    <w:rsid w:val="00F54C08"/>
    <w:rsid w:val="00F553A2"/>
    <w:rsid w:val="00F6068C"/>
    <w:rsid w:val="00F61F63"/>
    <w:rsid w:val="00F62F33"/>
    <w:rsid w:val="00F63A52"/>
    <w:rsid w:val="00F70AA9"/>
    <w:rsid w:val="00F730BA"/>
    <w:rsid w:val="00F770DB"/>
    <w:rsid w:val="00F903BE"/>
    <w:rsid w:val="00F91A81"/>
    <w:rsid w:val="00F95D04"/>
    <w:rsid w:val="00FA16EC"/>
    <w:rsid w:val="00FA2811"/>
    <w:rsid w:val="00FA4837"/>
    <w:rsid w:val="00FB1D33"/>
    <w:rsid w:val="00FB5E96"/>
    <w:rsid w:val="00FC05A0"/>
    <w:rsid w:val="00FC6758"/>
    <w:rsid w:val="00FD2CA0"/>
    <w:rsid w:val="00FD34EA"/>
    <w:rsid w:val="00FE3F3E"/>
    <w:rsid w:val="00FE4D52"/>
    <w:rsid w:val="00FE5AEE"/>
    <w:rsid w:val="00FF106B"/>
    <w:rsid w:val="00FF4C24"/>
    <w:rsid w:val="381348AF"/>
    <w:rsid w:val="4659BEC9"/>
    <w:rsid w:val="52AB344C"/>
    <w:rsid w:val="54E5C0B3"/>
    <w:rsid w:val="5E95BC30"/>
    <w:rsid w:val="6F821E24"/>
    <w:rsid w:val="72371703"/>
    <w:rsid w:val="77288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AA4E5D"/>
    <w:rPr>
      <w:rFonts w:ascii="Arial" w:hAnsi="Arial"/>
      <w:szCs w:val="24"/>
    </w:rPr>
  </w:style>
  <w:style w:type="character" w:styleId="CommentReference">
    <w:name w:val="annotation reference"/>
    <w:basedOn w:val="DefaultParagraphFont"/>
    <w:uiPriority w:val="99"/>
    <w:semiHidden/>
    <w:unhideWhenUsed/>
    <w:rsid w:val="003756DE"/>
    <w:rPr>
      <w:sz w:val="16"/>
      <w:szCs w:val="16"/>
    </w:rPr>
  </w:style>
  <w:style w:type="paragraph" w:styleId="CommentSubject">
    <w:name w:val="annotation subject"/>
    <w:basedOn w:val="CommentText"/>
    <w:next w:val="CommentText"/>
    <w:link w:val="CommentSubjectChar"/>
    <w:uiPriority w:val="99"/>
    <w:semiHidden/>
    <w:unhideWhenUsed/>
    <w:rsid w:val="003756DE"/>
    <w:rPr>
      <w:b/>
      <w:bCs/>
    </w:rPr>
  </w:style>
  <w:style w:type="character" w:customStyle="1" w:styleId="CommentTextChar">
    <w:name w:val="Comment Text Char"/>
    <w:basedOn w:val="DefaultParagraphFont"/>
    <w:link w:val="CommentText"/>
    <w:semiHidden/>
    <w:rsid w:val="003756DE"/>
    <w:rPr>
      <w:rFonts w:ascii="Arial" w:hAnsi="Arial"/>
    </w:rPr>
  </w:style>
  <w:style w:type="character" w:customStyle="1" w:styleId="CommentSubjectChar">
    <w:name w:val="Comment Subject Char"/>
    <w:basedOn w:val="CommentTextChar"/>
    <w:link w:val="CommentSubject"/>
    <w:uiPriority w:val="99"/>
    <w:semiHidden/>
    <w:rsid w:val="003756D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documentManagement/types"/>
    <ds:schemaRef ds:uri="http://schemas.openxmlformats.org/package/2006/metadata/core-properties"/>
    <ds:schemaRef ds:uri="http://schemas.microsoft.com/office/2006/metadata/properties"/>
    <ds:schemaRef ds:uri="f5eefb00-5952-4f7e-8cf8-96f81cfadd01"/>
    <ds:schemaRef ds:uri="http://purl.org/dc/terms/"/>
    <ds:schemaRef ds:uri="http://purl.org/dc/dcmitype/"/>
    <ds:schemaRef ds:uri="http://purl.org/dc/elements/1.1/"/>
    <ds:schemaRef ds:uri="http://www.w3.org/XML/1998/namespace"/>
    <ds:schemaRef ds:uri="http://schemas.microsoft.com/office/infopath/2007/PartnerControls"/>
    <ds:schemaRef ds:uri="aba01ddc-ae9a-4c9e-819c-7140b4239cde"/>
    <ds:schemaRef ds:uri="http://schemas.microsoft.com/sharepoint/v3"/>
  </ds:schemaRefs>
</ds:datastoreItem>
</file>

<file path=customXml/itemProps3.xml><?xml version="1.0" encoding="utf-8"?>
<ds:datastoreItem xmlns:ds="http://schemas.openxmlformats.org/officeDocument/2006/customXml" ds:itemID="{0F7FF647-F9FE-455B-A3E5-4F44BE89E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128</TotalTime>
  <Pages>3</Pages>
  <Words>661</Words>
  <Characters>3772</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Electrolyte Depleting Agents, Phosphate Lowering PDL Edit</vt:lpstr>
    </vt:vector>
  </TitlesOfParts>
  <Company>DSS</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Electrolyte Depleting Agents, Phosphate Lowering PDL Edit</dc:title>
  <dc:creator>DMS</dc:creator>
  <cp:lastModifiedBy>Herzing, Jamie</cp:lastModifiedBy>
  <cp:revision>61</cp:revision>
  <cp:lastPrinted>2018-10-31T20:17:00Z</cp:lastPrinted>
  <dcterms:created xsi:type="dcterms:W3CDTF">2026-08-19T15:58:00Z</dcterms:created>
  <dcterms:modified xsi:type="dcterms:W3CDTF">2026-10-09T20:47:00Z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c1f1e5775854936cd43cdf47c6e74fbeffc581ba0fe585e2eaf3c6e4556b35d7</vt:lpwstr>
  </property>
</Properties>
</file>