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E65ED60" w:rsidR="004C5767" w:rsidRPr="008859E1" w:rsidRDefault="004C5767" w:rsidP="062910C5">
      <w:pPr>
        <w:pStyle w:val="tbody"/>
        <w:rPr>
          <w:b w:val="0"/>
        </w:rPr>
      </w:pPr>
      <w:r>
        <w:t>Drug/Drug Class:</w:t>
      </w:r>
      <w:r w:rsidR="003B4820">
        <w:rPr>
          <w:b w:val="0"/>
        </w:rPr>
        <w:t xml:space="preserve"> </w:t>
      </w:r>
      <w:r w:rsidR="001C4883">
        <w:rPr>
          <w:b w:val="0"/>
        </w:rPr>
        <w:t>Erythropoiesis Stimulating Agents PDL Edit</w:t>
      </w:r>
    </w:p>
    <w:p w14:paraId="7AD7FFCE" w14:textId="2F633451" w:rsidR="004C5767" w:rsidRPr="00C02553" w:rsidRDefault="004C5767" w:rsidP="00D27533">
      <w:pPr>
        <w:pStyle w:val="tbody"/>
      </w:pPr>
      <w:r w:rsidRPr="00C02553">
        <w:t>First Implementation Date:</w:t>
      </w:r>
      <w:r w:rsidRPr="00573856">
        <w:rPr>
          <w:b w:val="0"/>
          <w:bCs/>
        </w:rPr>
        <w:t xml:space="preserve"> </w:t>
      </w:r>
      <w:r w:rsidR="00B36A27" w:rsidRPr="00B36A27">
        <w:rPr>
          <w:b w:val="0"/>
          <w:bCs/>
        </w:rPr>
        <w:t>July 3, 2008</w:t>
      </w:r>
    </w:p>
    <w:p w14:paraId="4B7D760D" w14:textId="4421EF8B" w:rsidR="004C5767" w:rsidRPr="00057F84" w:rsidRDefault="005821F5" w:rsidP="70E341D6">
      <w:pPr>
        <w:pStyle w:val="tbody"/>
        <w:rPr>
          <w:b w:val="0"/>
        </w:rPr>
      </w:pPr>
      <w:r>
        <w:t>Proposed</w:t>
      </w:r>
      <w:r w:rsidR="00680A03">
        <w:t xml:space="preserve"> </w:t>
      </w:r>
      <w:r w:rsidR="004C5767">
        <w:t>Date:</w:t>
      </w:r>
      <w:r w:rsidR="00065C22">
        <w:t xml:space="preserve"> </w:t>
      </w:r>
      <w:r w:rsidR="00B36A27">
        <w:rPr>
          <w:b w:val="0"/>
          <w:bCs/>
        </w:rPr>
        <w:t>October</w:t>
      </w:r>
      <w:r w:rsidR="00A47E72" w:rsidRPr="00A47E72">
        <w:rPr>
          <w:b w:val="0"/>
          <w:bCs/>
        </w:rPr>
        <w:t xml:space="preserve"> 20, 2026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229C15EB" w:rsidR="00A47E72" w:rsidRPr="00D27533" w:rsidRDefault="004C5767" w:rsidP="00A47E72">
      <w:pPr>
        <w:pStyle w:val="tbody"/>
        <w:rPr>
          <w:b w:val="0"/>
          <w:bCs/>
          <w:spacing w:val="-3"/>
        </w:rPr>
      </w:pPr>
      <w:r w:rsidRPr="00C02553">
        <w:t xml:space="preserve">Criteria Status: </w:t>
      </w:r>
      <w:r w:rsidR="00A47E72" w:rsidRPr="00CD2D01">
        <w:rPr>
          <w:b w:val="0"/>
          <w:bCs/>
          <w:spacing w:val="-3"/>
        </w:rPr>
        <w:t>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A740000" w14:textId="7DBF3B99" w:rsidR="00BD188B" w:rsidRDefault="00BD188B" w:rsidP="00BD188B">
      <w:pPr>
        <w:pStyle w:val="Header"/>
        <w:tabs>
          <w:tab w:val="clear" w:pos="4320"/>
          <w:tab w:val="clear" w:pos="8640"/>
        </w:tabs>
        <w:rPr>
          <w:rFonts w:cs="Arial"/>
          <w:sz w:val="20"/>
        </w:rPr>
      </w:pPr>
      <w:r w:rsidRPr="00575752">
        <w:rPr>
          <w:rFonts w:cs="Arial"/>
          <w:sz w:val="20"/>
        </w:rPr>
        <w:t>Erythropoietin is a glycoprotein</w:t>
      </w:r>
      <w:r>
        <w:rPr>
          <w:rFonts w:cs="Arial"/>
          <w:sz w:val="20"/>
        </w:rPr>
        <w:t xml:space="preserve"> hormone</w:t>
      </w:r>
      <w:r w:rsidRPr="00575752">
        <w:rPr>
          <w:rFonts w:cs="Arial"/>
          <w:sz w:val="20"/>
        </w:rPr>
        <w:t xml:space="preserve"> produced by the kidneys that </w:t>
      </w:r>
      <w:r w:rsidRPr="00575752">
        <w:rPr>
          <w:rFonts w:cs="Arial"/>
          <w:noProof/>
          <w:sz w:val="20"/>
        </w:rPr>
        <w:t>stimulate</w:t>
      </w:r>
      <w:r>
        <w:rPr>
          <w:rFonts w:cs="Arial"/>
          <w:noProof/>
          <w:sz w:val="20"/>
        </w:rPr>
        <w:t>s</w:t>
      </w:r>
      <w:r w:rsidRPr="00575752">
        <w:rPr>
          <w:rFonts w:cs="Arial"/>
          <w:sz w:val="20"/>
        </w:rPr>
        <w:t xml:space="preserve"> the formation of red blood cells (erythropoiesis). A recombinant human erythropoietin, epoetin alfa</w:t>
      </w:r>
      <w:r>
        <w:rPr>
          <w:rFonts w:cs="Arial"/>
          <w:sz w:val="20"/>
        </w:rPr>
        <w:t xml:space="preserve"> </w:t>
      </w:r>
      <w:r w:rsidRPr="00575752">
        <w:rPr>
          <w:rFonts w:cs="Arial"/>
          <w:sz w:val="20"/>
        </w:rPr>
        <w:t>(Epogen, Procrit</w:t>
      </w:r>
      <w:r>
        <w:rPr>
          <w:rFonts w:cs="Arial"/>
          <w:sz w:val="20"/>
        </w:rPr>
        <w:t>, Retacrit</w:t>
      </w:r>
      <w:r w:rsidRPr="00575752">
        <w:rPr>
          <w:rFonts w:cs="Arial"/>
          <w:sz w:val="20"/>
        </w:rPr>
        <w:t>)</w:t>
      </w:r>
      <w:r>
        <w:rPr>
          <w:rFonts w:cs="Arial"/>
          <w:sz w:val="20"/>
        </w:rPr>
        <w:t xml:space="preserve">, </w:t>
      </w:r>
      <w:r w:rsidRPr="00575752">
        <w:rPr>
          <w:rFonts w:cs="Arial"/>
          <w:sz w:val="20"/>
        </w:rPr>
        <w:t>has FDA approved indications for the treatment of anemia associated with several conditions: chronic renal failure (with and without dialysis), zidovudine treatment in HIV infected patients, and chemotherapy for non-myeloid cancers. It is also indicated for use prior to elective, noncardiac, nonvascular surgery to reduce the need for allogeneic blood transfusions.</w:t>
      </w:r>
      <w:r>
        <w:rPr>
          <w:rFonts w:cs="Arial"/>
          <w:sz w:val="20"/>
          <w:vertAlign w:val="superscript"/>
        </w:rPr>
        <w:t xml:space="preserve"> </w:t>
      </w:r>
      <w:r w:rsidRPr="00575752">
        <w:rPr>
          <w:rFonts w:cs="Arial"/>
          <w:sz w:val="20"/>
        </w:rPr>
        <w:t>Studies have shown epoetin alfa to improve hematologic indices, reduce the need for transfusions, and improve quality of life. Illicit use of epoetin alfa has been reported in athletes wishing to increase their endurance.</w:t>
      </w:r>
      <w:r w:rsidRPr="00575752">
        <w:rPr>
          <w:rFonts w:cs="Arial"/>
          <w:sz w:val="20"/>
          <w:vertAlign w:val="superscript"/>
        </w:rPr>
        <w:t xml:space="preserve">  </w:t>
      </w:r>
      <w:r w:rsidRPr="00575752">
        <w:rPr>
          <w:rFonts w:cs="Arial"/>
          <w:sz w:val="20"/>
        </w:rPr>
        <w:t xml:space="preserve">Darbepoetin alfa (Aranesp) is </w:t>
      </w:r>
      <w:r>
        <w:rPr>
          <w:rFonts w:cs="Arial"/>
          <w:sz w:val="20"/>
        </w:rPr>
        <w:t>another</w:t>
      </w:r>
      <w:r w:rsidRPr="00575752">
        <w:rPr>
          <w:rFonts w:cs="Arial"/>
          <w:sz w:val="20"/>
        </w:rPr>
        <w:t xml:space="preserve"> erythropoiesis-stimulating agent available on the market approved for the treatment of anemia associated with both chronic renal failure (with and without dialysis) and chemotherapy for non-myeloid malignancies. It differs from epoetin alfa by containing two additional N-glycosylation sites which serve to lengthen the duration of action of the drug, thereby reducing the dosing frequency required with epoetin alfa.</w:t>
      </w:r>
      <w:r>
        <w:rPr>
          <w:rFonts w:cs="Arial"/>
          <w:sz w:val="20"/>
        </w:rPr>
        <w:t xml:space="preserve"> Methoxy polyethylene glycol-epoetin beta (Mircera), an erythropoietin receptor activator, is indicated for the treatment of anemia associated with chronic kidney disease (with and without dialysis). </w:t>
      </w:r>
    </w:p>
    <w:p w14:paraId="5F30DE68" w14:textId="77777777" w:rsidR="00BD188B" w:rsidRPr="0020635B" w:rsidRDefault="00BD188B" w:rsidP="00BD188B">
      <w:pPr>
        <w:pStyle w:val="Header"/>
        <w:tabs>
          <w:tab w:val="clear" w:pos="4320"/>
          <w:tab w:val="clear" w:pos="8640"/>
        </w:tabs>
        <w:rPr>
          <w:rFonts w:cs="Arial"/>
          <w:sz w:val="20"/>
        </w:rPr>
      </w:pPr>
    </w:p>
    <w:p w14:paraId="7ACECC9F" w14:textId="70D136E3" w:rsidR="00B56DCC" w:rsidRDefault="00BD188B" w:rsidP="00BD188B">
      <w:r w:rsidRPr="00650530">
        <w:rPr>
          <w:rFonts w:cs="Arial"/>
          <w:spacing w:val="-3"/>
        </w:rPr>
        <w:t>Total program savings for the PDL classes will be regularly reviewed.</w:t>
      </w:r>
    </w:p>
    <w:p w14:paraId="5FC95C4F" w14:textId="1BC09568" w:rsidR="009B386C" w:rsidRPr="002C2C41" w:rsidRDefault="009B386C" w:rsidP="009B386C">
      <w:pPr>
        <w:rPr>
          <w:rFonts w:cs="Arial"/>
          <w:szCs w:val="20"/>
        </w:rPr>
      </w:pPr>
    </w:p>
    <w:p w14:paraId="1B21829C" w14:textId="7C2E049B" w:rsidR="00846FA4" w:rsidRPr="00A60136" w:rsidRDefault="009A0FB1" w:rsidP="00A60136">
      <w:pPr>
        <w:rPr>
          <w:b/>
          <w:bCs/>
        </w:rPr>
      </w:pPr>
      <w:r>
        <w:rPr>
          <w:b/>
          <w:bCs/>
        </w:rPr>
        <w:t>Preferred Agents:</w:t>
      </w:r>
    </w:p>
    <w:p w14:paraId="528CE3E0" w14:textId="181B6BFE" w:rsidR="000C4842" w:rsidRPr="000C4842" w:rsidRDefault="000C4842" w:rsidP="000C4842">
      <w:pPr>
        <w:numPr>
          <w:ilvl w:val="0"/>
          <w:numId w:val="16"/>
        </w:numPr>
        <w:rPr>
          <w:rFonts w:cs="Arial"/>
          <w:spacing w:val="-3"/>
          <w:szCs w:val="20"/>
        </w:rPr>
      </w:pPr>
      <w:r w:rsidRPr="000C4842">
        <w:rPr>
          <w:rFonts w:cs="Arial"/>
          <w:spacing w:val="-3"/>
          <w:szCs w:val="20"/>
        </w:rPr>
        <w:t>Aranesp</w:t>
      </w:r>
    </w:p>
    <w:p w14:paraId="020EE344" w14:textId="64FB4F3B" w:rsidR="000C4842" w:rsidRPr="000C4842" w:rsidRDefault="000C4842" w:rsidP="000C4842">
      <w:pPr>
        <w:numPr>
          <w:ilvl w:val="0"/>
          <w:numId w:val="16"/>
        </w:numPr>
        <w:rPr>
          <w:rFonts w:cs="Arial"/>
          <w:spacing w:val="-3"/>
          <w:szCs w:val="20"/>
        </w:rPr>
      </w:pPr>
      <w:r w:rsidRPr="000C4842">
        <w:rPr>
          <w:rFonts w:cs="Arial"/>
          <w:spacing w:val="-3"/>
          <w:szCs w:val="20"/>
        </w:rPr>
        <w:t>Epogen</w:t>
      </w:r>
    </w:p>
    <w:p w14:paraId="5889C82F" w14:textId="372C6D6A" w:rsidR="000C4842" w:rsidRPr="000C4842" w:rsidRDefault="000C4842" w:rsidP="000C4842">
      <w:pPr>
        <w:numPr>
          <w:ilvl w:val="0"/>
          <w:numId w:val="16"/>
        </w:numPr>
        <w:rPr>
          <w:rFonts w:cs="Arial"/>
          <w:spacing w:val="-3"/>
          <w:szCs w:val="20"/>
        </w:rPr>
      </w:pPr>
      <w:r w:rsidRPr="000C4842">
        <w:rPr>
          <w:rFonts w:cs="Arial"/>
          <w:spacing w:val="-3"/>
          <w:szCs w:val="20"/>
        </w:rPr>
        <w:t>Mircera</w:t>
      </w:r>
    </w:p>
    <w:p w14:paraId="47320590" w14:textId="6F0F408E" w:rsidR="00FD34EA" w:rsidRPr="000C4842" w:rsidRDefault="000C4842" w:rsidP="000C4842">
      <w:pPr>
        <w:numPr>
          <w:ilvl w:val="0"/>
          <w:numId w:val="16"/>
        </w:numPr>
        <w:rPr>
          <w:rFonts w:cs="Arial"/>
          <w:color w:val="0070C0"/>
          <w:spacing w:val="-3"/>
          <w:szCs w:val="20"/>
        </w:rPr>
      </w:pPr>
      <w:r w:rsidRPr="000C4842">
        <w:rPr>
          <w:rFonts w:cs="Arial"/>
          <w:spacing w:val="-3"/>
        </w:rPr>
        <w:t>Procrit</w:t>
      </w:r>
    </w:p>
    <w:p w14:paraId="5E8A0B77" w14:textId="77777777" w:rsidR="000C4842" w:rsidRPr="000C4842" w:rsidRDefault="000C4842" w:rsidP="000C4842">
      <w:pPr>
        <w:ind w:left="360"/>
        <w:rPr>
          <w:rFonts w:cs="Arial"/>
          <w:b/>
          <w:bCs/>
          <w:color w:val="0070C0"/>
          <w:spacing w:val="-3"/>
          <w:szCs w:val="20"/>
        </w:rPr>
      </w:pPr>
    </w:p>
    <w:p w14:paraId="56404718" w14:textId="252714AD" w:rsidR="00846FA4" w:rsidRDefault="00846FA4" w:rsidP="00846FA4">
      <w:pPr>
        <w:rPr>
          <w:b/>
          <w:bCs/>
        </w:rPr>
      </w:pPr>
      <w:r>
        <w:rPr>
          <w:b/>
          <w:bCs/>
        </w:rPr>
        <w:t>Non-Preferred Agents:</w:t>
      </w:r>
    </w:p>
    <w:p w14:paraId="789B79FE" w14:textId="7FA3FB0F" w:rsidR="0003439B" w:rsidRPr="0003439B" w:rsidRDefault="0003439B" w:rsidP="0003439B">
      <w:pPr>
        <w:numPr>
          <w:ilvl w:val="0"/>
          <w:numId w:val="16"/>
        </w:numPr>
        <w:rPr>
          <w:b/>
          <w:bCs/>
        </w:rPr>
      </w:pPr>
      <w:r w:rsidRPr="0003439B">
        <w:rPr>
          <w:rFonts w:cs="Arial"/>
          <w:bCs/>
          <w:spacing w:val="-3"/>
          <w:szCs w:val="20"/>
        </w:rPr>
        <w:t>Retacrit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2BB033D" w:rsidR="0097028A" w:rsidRPr="0079438F" w:rsidRDefault="0097028A" w:rsidP="00696E3A">
      <w:pPr>
        <w:rPr>
          <w:b/>
        </w:rPr>
      </w:pPr>
      <w:r w:rsidRPr="00696E3A">
        <w:rPr>
          <w:b/>
          <w:bCs/>
        </w:rPr>
        <w:t>Drug class for review:</w:t>
      </w:r>
      <w:r w:rsidRPr="00C02553">
        <w:t xml:space="preserve"> </w:t>
      </w:r>
      <w:r w:rsidR="007D0E1E" w:rsidRPr="00102F05">
        <w:rPr>
          <w:rFonts w:cs="Arial"/>
          <w:szCs w:val="20"/>
        </w:rPr>
        <w:t>Erythropoiesis Stimulating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6B9368C9" w14:textId="77777777" w:rsidR="00E26085" w:rsidRDefault="00E26085" w:rsidP="005328B2">
      <w:pPr>
        <w:rPr>
          <w:rFonts w:cs="Arial"/>
          <w:szCs w:val="20"/>
        </w:rPr>
      </w:pPr>
    </w:p>
    <w:p w14:paraId="4206B114" w14:textId="77777777" w:rsidR="00E26085" w:rsidRDefault="00E26085"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77E39DA1" w14:textId="77777777" w:rsidR="00A906B5" w:rsidRDefault="00A906B5" w:rsidP="00A906B5">
      <w:pPr>
        <w:numPr>
          <w:ilvl w:val="0"/>
          <w:numId w:val="18"/>
        </w:numPr>
        <w:rPr>
          <w:rFonts w:cs="Arial"/>
          <w:szCs w:val="20"/>
        </w:rPr>
      </w:pPr>
      <w:r>
        <w:rPr>
          <w:rFonts w:cs="Arial"/>
          <w:szCs w:val="20"/>
        </w:rPr>
        <w:t>Must meet one of the following:</w:t>
      </w:r>
    </w:p>
    <w:p w14:paraId="72231B74" w14:textId="77777777" w:rsidR="00A906B5" w:rsidRDefault="00A906B5" w:rsidP="00A906B5">
      <w:pPr>
        <w:numPr>
          <w:ilvl w:val="1"/>
          <w:numId w:val="18"/>
        </w:numPr>
        <w:rPr>
          <w:rFonts w:cs="Arial"/>
          <w:szCs w:val="20"/>
        </w:rPr>
      </w:pPr>
      <w:r>
        <w:rPr>
          <w:rFonts w:cs="Arial"/>
          <w:szCs w:val="20"/>
        </w:rPr>
        <w:t>Documented diagnosis of anemia due to chronic kidney disease or cancer (excluding myeloid leukemia) in the past year;</w:t>
      </w:r>
    </w:p>
    <w:p w14:paraId="47E1159F" w14:textId="77777777" w:rsidR="00A906B5" w:rsidRDefault="00A906B5" w:rsidP="00A906B5">
      <w:pPr>
        <w:numPr>
          <w:ilvl w:val="1"/>
          <w:numId w:val="18"/>
        </w:numPr>
        <w:rPr>
          <w:rFonts w:cs="Arial"/>
          <w:szCs w:val="20"/>
        </w:rPr>
      </w:pPr>
      <w:r>
        <w:rPr>
          <w:rFonts w:cs="Arial"/>
          <w:szCs w:val="20"/>
        </w:rPr>
        <w:t xml:space="preserve">Documented diagnosis of anemia due to HIV treatment with zidovudine in the past 30 days; </w:t>
      </w:r>
      <w:r w:rsidRPr="00B732D6">
        <w:rPr>
          <w:rFonts w:cs="Arial"/>
          <w:b/>
          <w:bCs/>
          <w:szCs w:val="20"/>
        </w:rPr>
        <w:t>OR</w:t>
      </w:r>
    </w:p>
    <w:p w14:paraId="21073E91" w14:textId="77777777" w:rsidR="00A906B5" w:rsidRPr="00B732D6" w:rsidRDefault="00A906B5" w:rsidP="00A906B5">
      <w:pPr>
        <w:pStyle w:val="ListBullet2"/>
        <w:numPr>
          <w:ilvl w:val="1"/>
          <w:numId w:val="18"/>
        </w:numPr>
        <w:rPr>
          <w:rFonts w:ascii="Arial" w:hAnsi="Arial" w:cs="Arial"/>
          <w:sz w:val="20"/>
          <w:szCs w:val="20"/>
        </w:rPr>
      </w:pPr>
      <w:r>
        <w:rPr>
          <w:rFonts w:ascii="Arial" w:hAnsi="Arial" w:cs="Arial"/>
          <w:sz w:val="20"/>
          <w:szCs w:val="20"/>
        </w:rPr>
        <w:t>Clinical consultant review required for documented diagnosis of reduction of allogenic red blood cell transfusion in participants undergoing elective, noncardiac, nonvascular surgery.</w:t>
      </w:r>
    </w:p>
    <w:p w14:paraId="2DF8174B" w14:textId="77777777" w:rsidR="00A906B5" w:rsidRDefault="00A906B5" w:rsidP="00A906B5">
      <w:pPr>
        <w:numPr>
          <w:ilvl w:val="0"/>
          <w:numId w:val="18"/>
        </w:numPr>
        <w:rPr>
          <w:rFonts w:cs="Arial"/>
          <w:szCs w:val="20"/>
        </w:rPr>
      </w:pPr>
      <w:r>
        <w:rPr>
          <w:rFonts w:cs="Arial"/>
          <w:szCs w:val="20"/>
        </w:rPr>
        <w:t>Additional approval criteria for a non-preferred agent:</w:t>
      </w:r>
    </w:p>
    <w:p w14:paraId="21A27130" w14:textId="77777777" w:rsidR="00A906B5" w:rsidRPr="00C1018C" w:rsidRDefault="00A906B5" w:rsidP="00A906B5">
      <w:pPr>
        <w:numPr>
          <w:ilvl w:val="1"/>
          <w:numId w:val="18"/>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6FDD0937" w14:textId="77777777" w:rsidR="00A906B5" w:rsidRPr="00C1018C" w:rsidRDefault="00A906B5" w:rsidP="00A906B5">
      <w:pPr>
        <w:numPr>
          <w:ilvl w:val="2"/>
          <w:numId w:val="18"/>
        </w:numPr>
        <w:jc w:val="both"/>
        <w:rPr>
          <w:rFonts w:cs="Arial"/>
          <w:szCs w:val="20"/>
        </w:rPr>
      </w:pPr>
      <w:r w:rsidRPr="00C1018C">
        <w:rPr>
          <w:rFonts w:cs="Arial"/>
          <w:szCs w:val="20"/>
        </w:rPr>
        <w:t>Documented trial period of preferred agents</w:t>
      </w:r>
      <w:r>
        <w:rPr>
          <w:rFonts w:cs="Arial"/>
          <w:szCs w:val="20"/>
        </w:rPr>
        <w:t xml:space="preserve">; </w:t>
      </w:r>
      <w:r w:rsidRPr="00B732D6">
        <w:rPr>
          <w:rFonts w:cs="Arial"/>
          <w:b/>
          <w:bCs/>
          <w:szCs w:val="20"/>
        </w:rPr>
        <w:t>OR</w:t>
      </w:r>
    </w:p>
    <w:p w14:paraId="0DB76776" w14:textId="77777777" w:rsidR="00A906B5" w:rsidRDefault="00A906B5" w:rsidP="00A906B5">
      <w:pPr>
        <w:numPr>
          <w:ilvl w:val="2"/>
          <w:numId w:val="18"/>
        </w:numPr>
        <w:jc w:val="both"/>
        <w:rPr>
          <w:rFonts w:cs="Arial"/>
          <w:szCs w:val="20"/>
        </w:rPr>
      </w:pPr>
      <w:r w:rsidRPr="00C1018C">
        <w:rPr>
          <w:rFonts w:cs="Arial"/>
          <w:szCs w:val="20"/>
        </w:rPr>
        <w:t>Documen</w:t>
      </w:r>
      <w:r>
        <w:rPr>
          <w:rFonts w:cs="Arial"/>
          <w:szCs w:val="20"/>
        </w:rPr>
        <w:t>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D76090C" w14:textId="77777777" w:rsidR="00325109" w:rsidRDefault="00325109" w:rsidP="00325109">
      <w:pPr>
        <w:pStyle w:val="ListParagraph"/>
        <w:numPr>
          <w:ilvl w:val="0"/>
          <w:numId w:val="18"/>
        </w:numPr>
        <w:rPr>
          <w:rFonts w:cs="Arial"/>
          <w:noProof/>
          <w:szCs w:val="20"/>
        </w:rPr>
      </w:pPr>
      <w:r>
        <w:rPr>
          <w:rFonts w:cs="Arial"/>
          <w:noProof/>
          <w:szCs w:val="20"/>
        </w:rPr>
        <w:t>Therapy will deny with presence of one of the following:</w:t>
      </w:r>
    </w:p>
    <w:p w14:paraId="34461B4E" w14:textId="77777777" w:rsidR="00325109" w:rsidRDefault="00325109" w:rsidP="00325109">
      <w:pPr>
        <w:pStyle w:val="ListParagraph"/>
        <w:numPr>
          <w:ilvl w:val="1"/>
          <w:numId w:val="18"/>
        </w:numPr>
        <w:rPr>
          <w:rFonts w:cs="Arial"/>
          <w:noProof/>
          <w:szCs w:val="20"/>
        </w:rPr>
      </w:pPr>
      <w:r>
        <w:rPr>
          <w:rFonts w:cs="Arial"/>
          <w:noProof/>
          <w:szCs w:val="20"/>
        </w:rPr>
        <w:t xml:space="preserve">Any approval criteria are not met; </w:t>
      </w:r>
      <w:r w:rsidRPr="00137E9C">
        <w:rPr>
          <w:rFonts w:cs="Arial"/>
          <w:b/>
          <w:bCs/>
          <w:noProof/>
          <w:szCs w:val="20"/>
        </w:rPr>
        <w:t>OR</w:t>
      </w:r>
    </w:p>
    <w:p w14:paraId="00924240" w14:textId="77777777" w:rsidR="00325109" w:rsidRPr="0095061F" w:rsidRDefault="00325109" w:rsidP="00325109">
      <w:pPr>
        <w:numPr>
          <w:ilvl w:val="1"/>
          <w:numId w:val="18"/>
        </w:numPr>
        <w:rPr>
          <w:rFonts w:cs="Arial"/>
          <w:szCs w:val="20"/>
        </w:rPr>
      </w:pPr>
      <w:r w:rsidRPr="0095061F">
        <w:rPr>
          <w:rFonts w:cs="Arial"/>
          <w:szCs w:val="20"/>
        </w:rPr>
        <w:t>Pa</w:t>
      </w:r>
      <w:r>
        <w:rPr>
          <w:rFonts w:cs="Arial"/>
          <w:szCs w:val="20"/>
        </w:rPr>
        <w:t>rticipants</w:t>
      </w:r>
      <w:r w:rsidRPr="0095061F">
        <w:rPr>
          <w:rFonts w:cs="Arial"/>
          <w:szCs w:val="20"/>
        </w:rPr>
        <w:t xml:space="preserve"> not responding to usual doses of therapy</w:t>
      </w:r>
      <w:r>
        <w:rPr>
          <w:rFonts w:cs="Arial"/>
          <w:szCs w:val="20"/>
        </w:rPr>
        <w:t>,</w:t>
      </w:r>
      <w:r w:rsidRPr="0095061F">
        <w:rPr>
          <w:rFonts w:cs="Arial"/>
          <w:szCs w:val="20"/>
        </w:rPr>
        <w:t xml:space="preserve"> prescriber to rule out causes for delayed/</w:t>
      </w:r>
      <w:r>
        <w:rPr>
          <w:rFonts w:cs="Arial"/>
          <w:szCs w:val="20"/>
        </w:rPr>
        <w:t xml:space="preserve"> </w:t>
      </w:r>
      <w:r w:rsidRPr="0095061F">
        <w:rPr>
          <w:rFonts w:cs="Arial"/>
          <w:szCs w:val="20"/>
        </w:rPr>
        <w:t>diminished response before continuing therapy, including:</w:t>
      </w:r>
    </w:p>
    <w:p w14:paraId="06044C99" w14:textId="77777777" w:rsidR="00325109" w:rsidRPr="0095061F" w:rsidRDefault="00325109" w:rsidP="00325109">
      <w:pPr>
        <w:numPr>
          <w:ilvl w:val="2"/>
          <w:numId w:val="18"/>
        </w:numPr>
        <w:rPr>
          <w:rFonts w:cs="Arial"/>
          <w:szCs w:val="20"/>
        </w:rPr>
      </w:pPr>
      <w:r w:rsidRPr="0095061F">
        <w:rPr>
          <w:rFonts w:cs="Arial"/>
          <w:szCs w:val="20"/>
        </w:rPr>
        <w:t>Iron deficiency</w:t>
      </w:r>
      <w:r>
        <w:rPr>
          <w:rFonts w:cs="Arial"/>
          <w:szCs w:val="20"/>
        </w:rPr>
        <w:t>;</w:t>
      </w:r>
    </w:p>
    <w:p w14:paraId="6DFB37A9" w14:textId="77777777" w:rsidR="00325109" w:rsidRPr="0095061F" w:rsidRDefault="00325109" w:rsidP="00325109">
      <w:pPr>
        <w:numPr>
          <w:ilvl w:val="2"/>
          <w:numId w:val="18"/>
        </w:numPr>
        <w:rPr>
          <w:rFonts w:cs="Arial"/>
          <w:szCs w:val="20"/>
        </w:rPr>
      </w:pPr>
      <w:r w:rsidRPr="0095061F">
        <w:rPr>
          <w:rFonts w:cs="Arial"/>
          <w:szCs w:val="20"/>
        </w:rPr>
        <w:t>Underlying infectious, inflammatory, or malignant processes</w:t>
      </w:r>
      <w:r>
        <w:rPr>
          <w:rFonts w:cs="Arial"/>
          <w:szCs w:val="20"/>
        </w:rPr>
        <w:t>;</w:t>
      </w:r>
    </w:p>
    <w:p w14:paraId="59934EEE" w14:textId="77777777" w:rsidR="00325109" w:rsidRPr="0095061F" w:rsidRDefault="00325109" w:rsidP="00325109">
      <w:pPr>
        <w:numPr>
          <w:ilvl w:val="2"/>
          <w:numId w:val="18"/>
        </w:numPr>
        <w:rPr>
          <w:rFonts w:cs="Arial"/>
          <w:szCs w:val="20"/>
        </w:rPr>
      </w:pPr>
      <w:r w:rsidRPr="0095061F">
        <w:rPr>
          <w:rFonts w:cs="Arial"/>
          <w:szCs w:val="20"/>
        </w:rPr>
        <w:t>Occult blood loss</w:t>
      </w:r>
      <w:r>
        <w:rPr>
          <w:rFonts w:cs="Arial"/>
          <w:szCs w:val="20"/>
        </w:rPr>
        <w:t>;</w:t>
      </w:r>
    </w:p>
    <w:p w14:paraId="0347D6B5" w14:textId="77777777" w:rsidR="00325109" w:rsidRPr="0095061F" w:rsidRDefault="00325109" w:rsidP="00325109">
      <w:pPr>
        <w:numPr>
          <w:ilvl w:val="2"/>
          <w:numId w:val="18"/>
        </w:numPr>
        <w:rPr>
          <w:rFonts w:cs="Arial"/>
          <w:szCs w:val="20"/>
        </w:rPr>
      </w:pPr>
      <w:r w:rsidRPr="0095061F">
        <w:rPr>
          <w:rFonts w:cs="Arial"/>
          <w:szCs w:val="20"/>
        </w:rPr>
        <w:t>Underlying hematologic diseases</w:t>
      </w:r>
      <w:r>
        <w:rPr>
          <w:rFonts w:cs="Arial"/>
          <w:szCs w:val="20"/>
        </w:rPr>
        <w:t>;</w:t>
      </w:r>
    </w:p>
    <w:p w14:paraId="760493D9" w14:textId="77777777" w:rsidR="00325109" w:rsidRPr="0095061F" w:rsidRDefault="00325109" w:rsidP="00325109">
      <w:pPr>
        <w:numPr>
          <w:ilvl w:val="2"/>
          <w:numId w:val="18"/>
        </w:numPr>
        <w:rPr>
          <w:rFonts w:cs="Arial"/>
          <w:szCs w:val="20"/>
        </w:rPr>
      </w:pPr>
      <w:r w:rsidRPr="0095061F">
        <w:rPr>
          <w:rFonts w:cs="Arial"/>
          <w:szCs w:val="20"/>
        </w:rPr>
        <w:t>Folic acid or vitamin B12 deficiency</w:t>
      </w:r>
      <w:r>
        <w:rPr>
          <w:rFonts w:cs="Arial"/>
          <w:szCs w:val="20"/>
        </w:rPr>
        <w:t>;</w:t>
      </w:r>
    </w:p>
    <w:p w14:paraId="28A8F195" w14:textId="77777777" w:rsidR="00325109" w:rsidRPr="0095061F" w:rsidRDefault="00325109" w:rsidP="00325109">
      <w:pPr>
        <w:numPr>
          <w:ilvl w:val="2"/>
          <w:numId w:val="18"/>
        </w:numPr>
        <w:rPr>
          <w:rFonts w:cs="Arial"/>
          <w:szCs w:val="20"/>
        </w:rPr>
      </w:pPr>
      <w:r w:rsidRPr="0095061F">
        <w:rPr>
          <w:rFonts w:cs="Arial"/>
          <w:szCs w:val="20"/>
        </w:rPr>
        <w:t>Hemolysis</w:t>
      </w:r>
      <w:r>
        <w:rPr>
          <w:rFonts w:cs="Arial"/>
          <w:szCs w:val="20"/>
        </w:rPr>
        <w:t>;</w:t>
      </w:r>
    </w:p>
    <w:p w14:paraId="7448B45F" w14:textId="77777777" w:rsidR="00325109" w:rsidRPr="0095061F" w:rsidRDefault="00325109" w:rsidP="00325109">
      <w:pPr>
        <w:numPr>
          <w:ilvl w:val="2"/>
          <w:numId w:val="18"/>
        </w:numPr>
        <w:rPr>
          <w:rFonts w:cs="Arial"/>
          <w:szCs w:val="20"/>
        </w:rPr>
      </w:pPr>
      <w:r w:rsidRPr="0095061F">
        <w:rPr>
          <w:rFonts w:cs="Arial"/>
          <w:szCs w:val="20"/>
        </w:rPr>
        <w:t>Aluminum intoxication</w:t>
      </w:r>
      <w:r>
        <w:rPr>
          <w:rFonts w:cs="Arial"/>
          <w:szCs w:val="20"/>
        </w:rPr>
        <w:t xml:space="preserve">; </w:t>
      </w:r>
      <w:r w:rsidRPr="00AA5CC8">
        <w:rPr>
          <w:rFonts w:cs="Arial"/>
          <w:b/>
          <w:bCs/>
          <w:szCs w:val="20"/>
        </w:rPr>
        <w:t>OR</w:t>
      </w:r>
    </w:p>
    <w:p w14:paraId="243C9926" w14:textId="77777777" w:rsidR="00325109" w:rsidRDefault="00325109" w:rsidP="00325109">
      <w:pPr>
        <w:numPr>
          <w:ilvl w:val="2"/>
          <w:numId w:val="18"/>
        </w:numPr>
        <w:rPr>
          <w:rFonts w:cs="Arial"/>
          <w:szCs w:val="20"/>
        </w:rPr>
      </w:pPr>
      <w:r w:rsidRPr="0095061F">
        <w:rPr>
          <w:rFonts w:cs="Arial"/>
          <w:szCs w:val="20"/>
        </w:rPr>
        <w:t>Osteitis fibrosa cystica</w:t>
      </w:r>
      <w:r>
        <w:rPr>
          <w:rFonts w:cs="Arial"/>
          <w:szCs w:val="20"/>
        </w:rPr>
        <w: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EE04706" w14:textId="77777777" w:rsidR="00BA1528" w:rsidRPr="000E2238" w:rsidRDefault="00BA1528" w:rsidP="00BA1528">
      <w:pPr>
        <w:pStyle w:val="ListParagraph"/>
        <w:numPr>
          <w:ilvl w:val="0"/>
          <w:numId w:val="22"/>
        </w:numPr>
        <w:rPr>
          <w:rFonts w:cs="Arial"/>
          <w:szCs w:val="20"/>
        </w:rPr>
      </w:pPr>
      <w:r w:rsidRPr="000E2238">
        <w:rPr>
          <w:rFonts w:cs="Arial"/>
          <w:szCs w:val="20"/>
        </w:rPr>
        <w:t>Evidence-Based Medicine and Fiscal Analysis: “Therapeutic Class Review: HEMTOLOGIC AGENTS: Erythropoiesis Stimulating Agents”, Gainwell Technologies; Last updated May 14, 2025</w:t>
      </w:r>
    </w:p>
    <w:p w14:paraId="5D11895E" w14:textId="1C18D985" w:rsidR="00BA1528" w:rsidRPr="00033C89" w:rsidRDefault="00BA1528" w:rsidP="00BA1528">
      <w:pPr>
        <w:numPr>
          <w:ilvl w:val="0"/>
          <w:numId w:val="22"/>
        </w:numPr>
        <w:rPr>
          <w:rFonts w:cs="Arial"/>
          <w:szCs w:val="20"/>
        </w:rPr>
      </w:pPr>
      <w:r w:rsidRPr="00033C89">
        <w:rPr>
          <w:rFonts w:cs="Arial"/>
          <w:szCs w:val="20"/>
        </w:rPr>
        <w:t xml:space="preserve">Evidence-Based Medicine Analysis: “Erythropoiesis-Stimulating Agents (ESAs)”, UMKC-DIC; </w:t>
      </w:r>
      <w:r w:rsidR="00987AAC">
        <w:rPr>
          <w:rFonts w:cs="Arial"/>
          <w:szCs w:val="20"/>
        </w:rPr>
        <w:t xml:space="preserve">June </w:t>
      </w:r>
      <w:r w:rsidRPr="00033C89">
        <w:rPr>
          <w:rFonts w:cs="Arial"/>
          <w:szCs w:val="20"/>
        </w:rPr>
        <w:t>202</w:t>
      </w:r>
      <w:r w:rsidR="00987AAC">
        <w:rPr>
          <w:rFonts w:cs="Arial"/>
          <w:szCs w:val="20"/>
        </w:rPr>
        <w:t>6</w:t>
      </w:r>
      <w:r w:rsidRPr="00033C89">
        <w:rPr>
          <w:rFonts w:cs="Arial"/>
          <w:szCs w:val="20"/>
        </w:rPr>
        <w:t>.</w:t>
      </w:r>
    </w:p>
    <w:p w14:paraId="04CFD356" w14:textId="77777777" w:rsidR="00BA1528" w:rsidRPr="0047513A" w:rsidRDefault="00BA1528" w:rsidP="00BA1528">
      <w:pPr>
        <w:numPr>
          <w:ilvl w:val="0"/>
          <w:numId w:val="22"/>
        </w:numPr>
        <w:rPr>
          <w:rFonts w:cs="Arial"/>
          <w:szCs w:val="20"/>
        </w:rPr>
      </w:pPr>
      <w:r w:rsidRPr="0047513A">
        <w:rPr>
          <w:rFonts w:cs="Arial"/>
          <w:szCs w:val="20"/>
        </w:rPr>
        <w:t xml:space="preserve">Means, R., (2022). Diagnostic approach to anemia in adults. In J.S. Tirnauer &amp; L. Kunins (Eds.), </w:t>
      </w:r>
      <w:r w:rsidRPr="0047513A">
        <w:rPr>
          <w:rFonts w:cs="Arial"/>
          <w:i/>
          <w:szCs w:val="20"/>
        </w:rPr>
        <w:t>UpToDate.</w:t>
      </w:r>
    </w:p>
    <w:p w14:paraId="33EB4B35" w14:textId="77777777" w:rsidR="00BA1528" w:rsidRPr="007E1B68" w:rsidRDefault="00BA1528" w:rsidP="00BA1528">
      <w:pPr>
        <w:numPr>
          <w:ilvl w:val="0"/>
          <w:numId w:val="22"/>
        </w:numPr>
        <w:rPr>
          <w:rFonts w:cs="Arial"/>
          <w:szCs w:val="20"/>
        </w:rPr>
      </w:pPr>
      <w:r w:rsidRPr="007E1B68">
        <w:rPr>
          <w:rFonts w:cs="Arial"/>
          <w:szCs w:val="20"/>
        </w:rPr>
        <w:t>Aranesp [package insert]. Thousand Oaks, CA: Amgen Inc; December 2024.</w:t>
      </w:r>
    </w:p>
    <w:p w14:paraId="64B0F63C" w14:textId="77777777" w:rsidR="00BA1528" w:rsidRPr="007E1B68" w:rsidRDefault="00BA1528" w:rsidP="00BA1528">
      <w:pPr>
        <w:numPr>
          <w:ilvl w:val="0"/>
          <w:numId w:val="22"/>
        </w:numPr>
        <w:rPr>
          <w:rFonts w:cs="Arial"/>
          <w:szCs w:val="20"/>
        </w:rPr>
      </w:pPr>
      <w:r w:rsidRPr="007E1B68">
        <w:rPr>
          <w:rFonts w:cs="Arial"/>
          <w:szCs w:val="20"/>
        </w:rPr>
        <w:t>Epogen [package insert]. Thousand Oaks, CA: Amgen; December 2024.</w:t>
      </w:r>
    </w:p>
    <w:p w14:paraId="73E34EA9" w14:textId="77777777" w:rsidR="00BA1528" w:rsidRPr="007E1B68" w:rsidRDefault="00BA1528" w:rsidP="00BA1528">
      <w:pPr>
        <w:numPr>
          <w:ilvl w:val="0"/>
          <w:numId w:val="22"/>
        </w:numPr>
        <w:rPr>
          <w:rFonts w:cs="Arial"/>
          <w:szCs w:val="20"/>
        </w:rPr>
      </w:pPr>
      <w:r w:rsidRPr="007E1B68">
        <w:rPr>
          <w:rFonts w:cs="Arial"/>
          <w:szCs w:val="20"/>
        </w:rPr>
        <w:t>Mircera [package insert]. South San Francisco, CA: Hoffmann-La Roche Inc; June 2024.</w:t>
      </w:r>
    </w:p>
    <w:p w14:paraId="724D94B0" w14:textId="77777777" w:rsidR="00BA1528" w:rsidRPr="007E1B68" w:rsidRDefault="00BA1528" w:rsidP="00BA1528">
      <w:pPr>
        <w:numPr>
          <w:ilvl w:val="0"/>
          <w:numId w:val="22"/>
        </w:numPr>
        <w:rPr>
          <w:rFonts w:cs="Arial"/>
          <w:szCs w:val="20"/>
        </w:rPr>
      </w:pPr>
      <w:r w:rsidRPr="007E1B68">
        <w:rPr>
          <w:rFonts w:cs="Arial"/>
          <w:szCs w:val="20"/>
        </w:rPr>
        <w:t>Procrit [package insert]. Horsham, PA: Janssen Products LP; April 2024.</w:t>
      </w:r>
    </w:p>
    <w:p w14:paraId="254E2856" w14:textId="77777777" w:rsidR="00BA1528" w:rsidRPr="007E1B68" w:rsidRDefault="00BA1528" w:rsidP="00BA1528">
      <w:pPr>
        <w:numPr>
          <w:ilvl w:val="0"/>
          <w:numId w:val="22"/>
        </w:numPr>
        <w:rPr>
          <w:rFonts w:cs="Arial"/>
          <w:szCs w:val="20"/>
        </w:rPr>
      </w:pPr>
      <w:r w:rsidRPr="007E1B68">
        <w:rPr>
          <w:rFonts w:cs="Arial"/>
          <w:szCs w:val="20"/>
        </w:rPr>
        <w:t>Retacrit [package insert]. Lake Forest, IL: Hospira, Inc; June 2024.</w:t>
      </w:r>
    </w:p>
    <w:p w14:paraId="426E4395" w14:textId="5AC02701" w:rsidR="00BA1528" w:rsidRDefault="00BA1528" w:rsidP="00BA1528">
      <w:pPr>
        <w:numPr>
          <w:ilvl w:val="0"/>
          <w:numId w:val="22"/>
        </w:numPr>
        <w:rPr>
          <w:rFonts w:cs="Arial"/>
          <w:szCs w:val="20"/>
        </w:rPr>
      </w:pPr>
      <w:r w:rsidRPr="00BC5635">
        <w:rPr>
          <w:rFonts w:cs="Arial"/>
          <w:szCs w:val="20"/>
        </w:rPr>
        <w:t>USPDI, Micromedex; 202</w:t>
      </w:r>
      <w:r>
        <w:rPr>
          <w:rFonts w:cs="Arial"/>
          <w:szCs w:val="20"/>
        </w:rPr>
        <w:t>6</w:t>
      </w:r>
      <w:r w:rsidRPr="00BC5635">
        <w:rPr>
          <w:rFonts w:cs="Arial"/>
          <w:szCs w:val="20"/>
        </w:rPr>
        <w:t xml:space="preserve">. </w:t>
      </w:r>
    </w:p>
    <w:p w14:paraId="1B238AE4" w14:textId="51467924" w:rsidR="00BA1528" w:rsidRPr="00C6344B" w:rsidRDefault="00BA1528" w:rsidP="00BA1528">
      <w:pPr>
        <w:numPr>
          <w:ilvl w:val="0"/>
          <w:numId w:val="22"/>
        </w:numPr>
        <w:rPr>
          <w:rFonts w:cs="Arial"/>
          <w:szCs w:val="20"/>
        </w:rPr>
      </w:pPr>
      <w:r w:rsidRPr="00B20838">
        <w:rPr>
          <w:rFonts w:cs="Arial"/>
          <w:szCs w:val="20"/>
        </w:rPr>
        <w:t>Clinical Pharmacology [online]. 202</w:t>
      </w:r>
      <w:r>
        <w:rPr>
          <w:rFonts w:cs="Arial"/>
          <w:szCs w:val="20"/>
        </w:rPr>
        <w:t>6.</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B032" w14:textId="77777777" w:rsidR="001C0176" w:rsidRPr="00C02553" w:rsidRDefault="001C0176" w:rsidP="00AE77DB">
      <w:r w:rsidRPr="00C02553">
        <w:separator/>
      </w:r>
    </w:p>
  </w:endnote>
  <w:endnote w:type="continuationSeparator" w:id="0">
    <w:p w14:paraId="6C288684" w14:textId="77777777" w:rsidR="001C0176" w:rsidRPr="00C02553" w:rsidRDefault="001C0176" w:rsidP="00AE77DB">
      <w:r w:rsidRPr="00C02553">
        <w:continuationSeparator/>
      </w:r>
    </w:p>
  </w:endnote>
  <w:endnote w:type="continuationNotice" w:id="1">
    <w:p w14:paraId="21BBAD1D" w14:textId="77777777" w:rsidR="001C0176" w:rsidRPr="00C02553" w:rsidRDefault="001C0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B6054" w14:textId="77777777" w:rsidR="001C0176" w:rsidRPr="00C02553" w:rsidRDefault="001C0176" w:rsidP="00AE77DB">
      <w:r w:rsidRPr="00C02553">
        <w:separator/>
      </w:r>
    </w:p>
  </w:footnote>
  <w:footnote w:type="continuationSeparator" w:id="0">
    <w:p w14:paraId="1AEE4174" w14:textId="77777777" w:rsidR="001C0176" w:rsidRPr="00C02553" w:rsidRDefault="001C0176" w:rsidP="00AE77DB">
      <w:r w:rsidRPr="00C02553">
        <w:continuationSeparator/>
      </w:r>
    </w:p>
  </w:footnote>
  <w:footnote w:type="continuationNotice" w:id="1">
    <w:p w14:paraId="794EE5C3" w14:textId="77777777" w:rsidR="001C0176" w:rsidRPr="00C02553" w:rsidRDefault="001C01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BCC608E" w:rsidR="00006A61" w:rsidRPr="00C02553" w:rsidRDefault="00DE5FAE">
    <w:pPr>
      <w:pStyle w:val="Header"/>
      <w:framePr w:wrap="around" w:vAnchor="text" w:hAnchor="margin" w:xAlign="right" w:y="1"/>
      <w:rPr>
        <w:rStyle w:val="PageNumber"/>
        <w:rFonts w:ascii="Times New Roman" w:hAnsi="Times New Roman"/>
      </w:rPr>
    </w:pPr>
    <w:r>
      <w:rPr>
        <w:noProof/>
      </w:rPr>
      <w:pict w14:anchorId="220744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6"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2AADF9E" w:rsidR="00596936" w:rsidRDefault="00DE5FAE">
    <w:pPr>
      <w:pStyle w:val="Header"/>
    </w:pPr>
    <w:r>
      <w:rPr>
        <w:noProof/>
      </w:rPr>
      <w:pict w14:anchorId="3DF1D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7"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13A9625" w:rsidR="00006A61" w:rsidRPr="00C02553" w:rsidRDefault="00DE5FAE">
    <w:pPr>
      <w:pStyle w:val="Header"/>
      <w:rPr>
        <w:rFonts w:ascii="Times New Roman" w:hAnsi="Times New Roman"/>
      </w:rPr>
    </w:pPr>
    <w:r>
      <w:rPr>
        <w:noProof/>
      </w:rPr>
      <w:pict w14:anchorId="06374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5"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6E7641D"/>
    <w:multiLevelType w:val="hybridMultilevel"/>
    <w:tmpl w:val="F5F078F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E110B9"/>
    <w:multiLevelType w:val="hybridMultilevel"/>
    <w:tmpl w:val="65C23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272D3"/>
    <w:multiLevelType w:val="hybridMultilevel"/>
    <w:tmpl w:val="D738416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1075E0"/>
    <w:multiLevelType w:val="hybridMultilevel"/>
    <w:tmpl w:val="0198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4"/>
  </w:num>
  <w:num w:numId="10" w16cid:durableId="917518096">
    <w:abstractNumId w:val="11"/>
  </w:num>
  <w:num w:numId="11" w16cid:durableId="1894998475">
    <w:abstractNumId w:val="1"/>
  </w:num>
  <w:num w:numId="12" w16cid:durableId="1418215296">
    <w:abstractNumId w:val="19"/>
  </w:num>
  <w:num w:numId="13" w16cid:durableId="604729665">
    <w:abstractNumId w:val="6"/>
  </w:num>
  <w:num w:numId="14" w16cid:durableId="1805081292">
    <w:abstractNumId w:val="16"/>
  </w:num>
  <w:num w:numId="15" w16cid:durableId="1538271233">
    <w:abstractNumId w:val="18"/>
  </w:num>
  <w:num w:numId="16" w16cid:durableId="1276518432">
    <w:abstractNumId w:val="12"/>
  </w:num>
  <w:num w:numId="17" w16cid:durableId="1030296219">
    <w:abstractNumId w:val="17"/>
  </w:num>
  <w:num w:numId="18" w16cid:durableId="1415735822">
    <w:abstractNumId w:val="15"/>
  </w:num>
  <w:num w:numId="19" w16cid:durableId="1506048966">
    <w:abstractNumId w:val="13"/>
  </w:num>
  <w:num w:numId="20" w16cid:durableId="1583225020">
    <w:abstractNumId w:val="5"/>
  </w:num>
  <w:num w:numId="21" w16cid:durableId="916745230">
    <w:abstractNumId w:val="8"/>
  </w:num>
  <w:num w:numId="22" w16cid:durableId="78180787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wfsirFqFdKwPowYFfngO5J0KwUBE0Ts0TokCHCTWSe2MXJo+xuLnSS22flBgtBwvTaDfzUt/qrxOxObMPqX1w==" w:salt="HwvK05shjcz5YeVTu20kJ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39B"/>
    <w:rsid w:val="000344C5"/>
    <w:rsid w:val="00040AD3"/>
    <w:rsid w:val="00053807"/>
    <w:rsid w:val="00056466"/>
    <w:rsid w:val="000572E5"/>
    <w:rsid w:val="00057F84"/>
    <w:rsid w:val="00061541"/>
    <w:rsid w:val="00064162"/>
    <w:rsid w:val="00065C22"/>
    <w:rsid w:val="00066885"/>
    <w:rsid w:val="00067AAF"/>
    <w:rsid w:val="00072514"/>
    <w:rsid w:val="000725C9"/>
    <w:rsid w:val="00074464"/>
    <w:rsid w:val="00076030"/>
    <w:rsid w:val="00082590"/>
    <w:rsid w:val="000913C3"/>
    <w:rsid w:val="000953B9"/>
    <w:rsid w:val="000A413B"/>
    <w:rsid w:val="000A6279"/>
    <w:rsid w:val="000B496B"/>
    <w:rsid w:val="000C3940"/>
    <w:rsid w:val="000C4842"/>
    <w:rsid w:val="000C5992"/>
    <w:rsid w:val="000E1479"/>
    <w:rsid w:val="000E21CC"/>
    <w:rsid w:val="000E231E"/>
    <w:rsid w:val="000E247D"/>
    <w:rsid w:val="000E6B14"/>
    <w:rsid w:val="000E70D8"/>
    <w:rsid w:val="001062F6"/>
    <w:rsid w:val="0011246B"/>
    <w:rsid w:val="00112FC7"/>
    <w:rsid w:val="00125F5F"/>
    <w:rsid w:val="00126951"/>
    <w:rsid w:val="00126B60"/>
    <w:rsid w:val="001273EB"/>
    <w:rsid w:val="00127EF6"/>
    <w:rsid w:val="001310AD"/>
    <w:rsid w:val="001314A5"/>
    <w:rsid w:val="00132C7F"/>
    <w:rsid w:val="0013628B"/>
    <w:rsid w:val="00144DBE"/>
    <w:rsid w:val="00147E65"/>
    <w:rsid w:val="00152C8B"/>
    <w:rsid w:val="0015636A"/>
    <w:rsid w:val="00172053"/>
    <w:rsid w:val="00177A80"/>
    <w:rsid w:val="001A50CB"/>
    <w:rsid w:val="001A74B7"/>
    <w:rsid w:val="001B2D47"/>
    <w:rsid w:val="001C0176"/>
    <w:rsid w:val="001C0250"/>
    <w:rsid w:val="001C4883"/>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629F1"/>
    <w:rsid w:val="00270C5E"/>
    <w:rsid w:val="002855A8"/>
    <w:rsid w:val="00290A03"/>
    <w:rsid w:val="0029159A"/>
    <w:rsid w:val="00291600"/>
    <w:rsid w:val="002A02F4"/>
    <w:rsid w:val="002A6EBC"/>
    <w:rsid w:val="002B6347"/>
    <w:rsid w:val="002C2C41"/>
    <w:rsid w:val="002C62E7"/>
    <w:rsid w:val="002E05E2"/>
    <w:rsid w:val="002E2DD6"/>
    <w:rsid w:val="002E3F28"/>
    <w:rsid w:val="002F0E52"/>
    <w:rsid w:val="002F2083"/>
    <w:rsid w:val="002F2274"/>
    <w:rsid w:val="002F2405"/>
    <w:rsid w:val="002F690F"/>
    <w:rsid w:val="0030301F"/>
    <w:rsid w:val="00303B21"/>
    <w:rsid w:val="00313701"/>
    <w:rsid w:val="00314430"/>
    <w:rsid w:val="00316188"/>
    <w:rsid w:val="003171AF"/>
    <w:rsid w:val="00317469"/>
    <w:rsid w:val="0032215C"/>
    <w:rsid w:val="00325109"/>
    <w:rsid w:val="0032616B"/>
    <w:rsid w:val="00326687"/>
    <w:rsid w:val="003275F9"/>
    <w:rsid w:val="003355AC"/>
    <w:rsid w:val="00343D6B"/>
    <w:rsid w:val="00347FB5"/>
    <w:rsid w:val="00355515"/>
    <w:rsid w:val="003608B5"/>
    <w:rsid w:val="003613AF"/>
    <w:rsid w:val="00365A91"/>
    <w:rsid w:val="003663B5"/>
    <w:rsid w:val="00383962"/>
    <w:rsid w:val="003878C1"/>
    <w:rsid w:val="00396C0B"/>
    <w:rsid w:val="003A211F"/>
    <w:rsid w:val="003A630F"/>
    <w:rsid w:val="003B1B90"/>
    <w:rsid w:val="003B3958"/>
    <w:rsid w:val="003B4820"/>
    <w:rsid w:val="003B5F4B"/>
    <w:rsid w:val="003B682F"/>
    <w:rsid w:val="003B6DF1"/>
    <w:rsid w:val="003C53FC"/>
    <w:rsid w:val="003C65A5"/>
    <w:rsid w:val="003C7013"/>
    <w:rsid w:val="003D06D6"/>
    <w:rsid w:val="003D641B"/>
    <w:rsid w:val="003D6E71"/>
    <w:rsid w:val="003F227C"/>
    <w:rsid w:val="003F6981"/>
    <w:rsid w:val="003F71FC"/>
    <w:rsid w:val="004023CC"/>
    <w:rsid w:val="004024C2"/>
    <w:rsid w:val="00407564"/>
    <w:rsid w:val="00411152"/>
    <w:rsid w:val="004156AA"/>
    <w:rsid w:val="004253A1"/>
    <w:rsid w:val="00427073"/>
    <w:rsid w:val="004313B6"/>
    <w:rsid w:val="00433339"/>
    <w:rsid w:val="00446BBC"/>
    <w:rsid w:val="004472C0"/>
    <w:rsid w:val="00450705"/>
    <w:rsid w:val="00451928"/>
    <w:rsid w:val="00464BB4"/>
    <w:rsid w:val="0046618B"/>
    <w:rsid w:val="0048608C"/>
    <w:rsid w:val="00496E57"/>
    <w:rsid w:val="004A0948"/>
    <w:rsid w:val="004B3E10"/>
    <w:rsid w:val="004B6DAD"/>
    <w:rsid w:val="004C0F5D"/>
    <w:rsid w:val="004C187B"/>
    <w:rsid w:val="004C375A"/>
    <w:rsid w:val="004C4954"/>
    <w:rsid w:val="004C5767"/>
    <w:rsid w:val="004D5322"/>
    <w:rsid w:val="004D78B0"/>
    <w:rsid w:val="004E0C1F"/>
    <w:rsid w:val="004E611F"/>
    <w:rsid w:val="004F2A79"/>
    <w:rsid w:val="004F4D37"/>
    <w:rsid w:val="004F6469"/>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21F5"/>
    <w:rsid w:val="00590652"/>
    <w:rsid w:val="0059235F"/>
    <w:rsid w:val="00596936"/>
    <w:rsid w:val="00597E59"/>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01E3"/>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047D"/>
    <w:rsid w:val="006B561D"/>
    <w:rsid w:val="006B6D5D"/>
    <w:rsid w:val="006D2330"/>
    <w:rsid w:val="006E0F8B"/>
    <w:rsid w:val="006E12F7"/>
    <w:rsid w:val="006E29D7"/>
    <w:rsid w:val="007068A4"/>
    <w:rsid w:val="00706D67"/>
    <w:rsid w:val="00713052"/>
    <w:rsid w:val="00721367"/>
    <w:rsid w:val="007231FA"/>
    <w:rsid w:val="00725467"/>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0E1E"/>
    <w:rsid w:val="007D2920"/>
    <w:rsid w:val="007D42DD"/>
    <w:rsid w:val="007E4616"/>
    <w:rsid w:val="007E6A37"/>
    <w:rsid w:val="007F02B9"/>
    <w:rsid w:val="007F1774"/>
    <w:rsid w:val="007F6915"/>
    <w:rsid w:val="00811A70"/>
    <w:rsid w:val="0081406E"/>
    <w:rsid w:val="00815E57"/>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C4B33"/>
    <w:rsid w:val="008D0F2F"/>
    <w:rsid w:val="008D237F"/>
    <w:rsid w:val="008D2CEF"/>
    <w:rsid w:val="008D6B05"/>
    <w:rsid w:val="008E7D2D"/>
    <w:rsid w:val="008F44C0"/>
    <w:rsid w:val="008F5999"/>
    <w:rsid w:val="00903AD6"/>
    <w:rsid w:val="00904D7A"/>
    <w:rsid w:val="00915332"/>
    <w:rsid w:val="009178C0"/>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87AAC"/>
    <w:rsid w:val="00991BF0"/>
    <w:rsid w:val="009A0FB1"/>
    <w:rsid w:val="009A1FAC"/>
    <w:rsid w:val="009B001A"/>
    <w:rsid w:val="009B1A62"/>
    <w:rsid w:val="009B386C"/>
    <w:rsid w:val="009C3CC7"/>
    <w:rsid w:val="009D2057"/>
    <w:rsid w:val="009D3D6C"/>
    <w:rsid w:val="009D5551"/>
    <w:rsid w:val="009D62DB"/>
    <w:rsid w:val="009E0406"/>
    <w:rsid w:val="009E3B42"/>
    <w:rsid w:val="009F0A2C"/>
    <w:rsid w:val="009F21BB"/>
    <w:rsid w:val="00A05B60"/>
    <w:rsid w:val="00A13266"/>
    <w:rsid w:val="00A14FA6"/>
    <w:rsid w:val="00A15D64"/>
    <w:rsid w:val="00A20575"/>
    <w:rsid w:val="00A23149"/>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67EB4"/>
    <w:rsid w:val="00A744C3"/>
    <w:rsid w:val="00A906B5"/>
    <w:rsid w:val="00AA70AB"/>
    <w:rsid w:val="00AB0B9F"/>
    <w:rsid w:val="00AB1713"/>
    <w:rsid w:val="00AB26F0"/>
    <w:rsid w:val="00AB63BE"/>
    <w:rsid w:val="00AC1EBC"/>
    <w:rsid w:val="00AC2599"/>
    <w:rsid w:val="00AC2DE9"/>
    <w:rsid w:val="00AD0F62"/>
    <w:rsid w:val="00AD2C5F"/>
    <w:rsid w:val="00AE1481"/>
    <w:rsid w:val="00AE27F9"/>
    <w:rsid w:val="00AE3473"/>
    <w:rsid w:val="00AE77DB"/>
    <w:rsid w:val="00AF0C07"/>
    <w:rsid w:val="00AF7453"/>
    <w:rsid w:val="00B00FFF"/>
    <w:rsid w:val="00B04A72"/>
    <w:rsid w:val="00B06084"/>
    <w:rsid w:val="00B16735"/>
    <w:rsid w:val="00B17EDE"/>
    <w:rsid w:val="00B22585"/>
    <w:rsid w:val="00B33693"/>
    <w:rsid w:val="00B34C53"/>
    <w:rsid w:val="00B36A27"/>
    <w:rsid w:val="00B507A5"/>
    <w:rsid w:val="00B51E90"/>
    <w:rsid w:val="00B52475"/>
    <w:rsid w:val="00B535DA"/>
    <w:rsid w:val="00B55F0F"/>
    <w:rsid w:val="00B56DCC"/>
    <w:rsid w:val="00B56F54"/>
    <w:rsid w:val="00B60B39"/>
    <w:rsid w:val="00B638C2"/>
    <w:rsid w:val="00B74BDD"/>
    <w:rsid w:val="00B758AB"/>
    <w:rsid w:val="00B76277"/>
    <w:rsid w:val="00B772AB"/>
    <w:rsid w:val="00B80395"/>
    <w:rsid w:val="00B80B56"/>
    <w:rsid w:val="00B86372"/>
    <w:rsid w:val="00BA1528"/>
    <w:rsid w:val="00BA1C17"/>
    <w:rsid w:val="00BA1D65"/>
    <w:rsid w:val="00BB3B4D"/>
    <w:rsid w:val="00BC351E"/>
    <w:rsid w:val="00BC3F77"/>
    <w:rsid w:val="00BC5635"/>
    <w:rsid w:val="00BC5675"/>
    <w:rsid w:val="00BD081C"/>
    <w:rsid w:val="00BD188B"/>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56463"/>
    <w:rsid w:val="00C56B1F"/>
    <w:rsid w:val="00C61B52"/>
    <w:rsid w:val="00C62745"/>
    <w:rsid w:val="00C654CA"/>
    <w:rsid w:val="00C722C9"/>
    <w:rsid w:val="00C74B4F"/>
    <w:rsid w:val="00C763BD"/>
    <w:rsid w:val="00C779A8"/>
    <w:rsid w:val="00C82E19"/>
    <w:rsid w:val="00C96873"/>
    <w:rsid w:val="00CA1735"/>
    <w:rsid w:val="00CA3C4B"/>
    <w:rsid w:val="00CA7252"/>
    <w:rsid w:val="00CB2C5A"/>
    <w:rsid w:val="00CD2D01"/>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72BE8"/>
    <w:rsid w:val="00DA3A0F"/>
    <w:rsid w:val="00DA4E62"/>
    <w:rsid w:val="00DA6990"/>
    <w:rsid w:val="00DB27BA"/>
    <w:rsid w:val="00DB337A"/>
    <w:rsid w:val="00DC51CB"/>
    <w:rsid w:val="00DC60EB"/>
    <w:rsid w:val="00DC77FF"/>
    <w:rsid w:val="00DD4819"/>
    <w:rsid w:val="00DD4B8A"/>
    <w:rsid w:val="00DD5002"/>
    <w:rsid w:val="00DD5403"/>
    <w:rsid w:val="00DE1388"/>
    <w:rsid w:val="00DE5FAE"/>
    <w:rsid w:val="00DE7501"/>
    <w:rsid w:val="00DF3146"/>
    <w:rsid w:val="00DF57C3"/>
    <w:rsid w:val="00DF771A"/>
    <w:rsid w:val="00E008D9"/>
    <w:rsid w:val="00E02FE0"/>
    <w:rsid w:val="00E07ABE"/>
    <w:rsid w:val="00E11A3F"/>
    <w:rsid w:val="00E1386E"/>
    <w:rsid w:val="00E2369B"/>
    <w:rsid w:val="00E23EC0"/>
    <w:rsid w:val="00E26085"/>
    <w:rsid w:val="00E320DD"/>
    <w:rsid w:val="00E34158"/>
    <w:rsid w:val="00E354AA"/>
    <w:rsid w:val="00E37F5E"/>
    <w:rsid w:val="00E43D54"/>
    <w:rsid w:val="00E442FB"/>
    <w:rsid w:val="00E529DB"/>
    <w:rsid w:val="00E53A5E"/>
    <w:rsid w:val="00E6466A"/>
    <w:rsid w:val="00E72221"/>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17BB"/>
    <w:rsid w:val="00EF6F8B"/>
    <w:rsid w:val="00F03898"/>
    <w:rsid w:val="00F1527A"/>
    <w:rsid w:val="00F2696B"/>
    <w:rsid w:val="00F27821"/>
    <w:rsid w:val="00F4092A"/>
    <w:rsid w:val="00F41F69"/>
    <w:rsid w:val="00F43E41"/>
    <w:rsid w:val="00F4790C"/>
    <w:rsid w:val="00F50C4B"/>
    <w:rsid w:val="00F544A9"/>
    <w:rsid w:val="00F54C08"/>
    <w:rsid w:val="00F553A2"/>
    <w:rsid w:val="00F6068C"/>
    <w:rsid w:val="00F62F33"/>
    <w:rsid w:val="00F63A52"/>
    <w:rsid w:val="00F730BA"/>
    <w:rsid w:val="00F80E20"/>
    <w:rsid w:val="00F83FCF"/>
    <w:rsid w:val="00F86088"/>
    <w:rsid w:val="00F903BE"/>
    <w:rsid w:val="00F91416"/>
    <w:rsid w:val="00F95D04"/>
    <w:rsid w:val="00FA16EC"/>
    <w:rsid w:val="00FA2811"/>
    <w:rsid w:val="00FA2CFB"/>
    <w:rsid w:val="00FA4837"/>
    <w:rsid w:val="00FB1D33"/>
    <w:rsid w:val="00FB2DF1"/>
    <w:rsid w:val="00FB5E96"/>
    <w:rsid w:val="00FC008C"/>
    <w:rsid w:val="00FC05A0"/>
    <w:rsid w:val="00FC6758"/>
    <w:rsid w:val="00FD3014"/>
    <w:rsid w:val="00FD34EA"/>
    <w:rsid w:val="00FE3F3E"/>
    <w:rsid w:val="00FE4D52"/>
    <w:rsid w:val="00FE5AEE"/>
    <w:rsid w:val="00FF106B"/>
    <w:rsid w:val="062910C5"/>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3D06D6"/>
    <w:rPr>
      <w:sz w:val="16"/>
      <w:szCs w:val="16"/>
    </w:rPr>
  </w:style>
  <w:style w:type="paragraph" w:styleId="CommentText">
    <w:name w:val="annotation text"/>
    <w:basedOn w:val="Normal"/>
    <w:link w:val="CommentTextChar"/>
    <w:uiPriority w:val="99"/>
    <w:unhideWhenUsed/>
    <w:rsid w:val="003D06D6"/>
    <w:rPr>
      <w:szCs w:val="20"/>
    </w:rPr>
  </w:style>
  <w:style w:type="character" w:customStyle="1" w:styleId="CommentTextChar">
    <w:name w:val="Comment Text Char"/>
    <w:basedOn w:val="DefaultParagraphFont"/>
    <w:link w:val="CommentText"/>
    <w:uiPriority w:val="99"/>
    <w:rsid w:val="003D06D6"/>
    <w:rPr>
      <w:rFonts w:ascii="Arial" w:hAnsi="Arial"/>
    </w:rPr>
  </w:style>
  <w:style w:type="paragraph" w:styleId="CommentSubject">
    <w:name w:val="annotation subject"/>
    <w:basedOn w:val="CommentText"/>
    <w:next w:val="CommentText"/>
    <w:link w:val="CommentSubjectChar"/>
    <w:uiPriority w:val="99"/>
    <w:semiHidden/>
    <w:unhideWhenUsed/>
    <w:rsid w:val="003D06D6"/>
    <w:rPr>
      <w:b/>
      <w:bCs/>
    </w:rPr>
  </w:style>
  <w:style w:type="character" w:customStyle="1" w:styleId="CommentSubjectChar">
    <w:name w:val="Comment Subject Char"/>
    <w:basedOn w:val="CommentTextChar"/>
    <w:link w:val="CommentSubject"/>
    <w:uiPriority w:val="99"/>
    <w:semiHidden/>
    <w:rsid w:val="003D06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openxmlformats.org/package/2006/metadata/core-properties"/>
    <ds:schemaRef ds:uri="http://purl.org/dc/elements/1.1/"/>
    <ds:schemaRef ds:uri="http://schemas.microsoft.com/sharepoint/v3"/>
    <ds:schemaRef ds:uri="http://schemas.microsoft.com/office/2006/documentManagement/types"/>
    <ds:schemaRef ds:uri="http://purl.org/dc/terms/"/>
    <ds:schemaRef ds:uri="http://www.w3.org/XML/1998/namespace"/>
    <ds:schemaRef ds:uri="http://purl.org/dc/dcmitype/"/>
    <ds:schemaRef ds:uri="http://schemas.microsoft.com/office/infopath/2007/PartnerControls"/>
    <ds:schemaRef ds:uri="f5eefb00-5952-4f7e-8cf8-96f81cfadd01"/>
    <ds:schemaRef ds:uri="aba01ddc-ae9a-4c9e-819c-7140b4239cde"/>
    <ds:schemaRef ds:uri="http://schemas.microsoft.com/office/2006/metadata/properties"/>
  </ds:schemaRefs>
</ds:datastoreItem>
</file>

<file path=customXml/itemProps4.xml><?xml version="1.0" encoding="utf-8"?>
<ds:datastoreItem xmlns:ds="http://schemas.openxmlformats.org/officeDocument/2006/customXml" ds:itemID="{870F45C0-1105-4253-AA6C-023A72876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3631</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Erythropoiesis Stim PDL Edit</vt:lpstr>
    </vt:vector>
  </TitlesOfParts>
  <Company>DSS</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Erythropoiesis Stim PDL Edit</dc:title>
  <dc:creator>DMS</dc:creator>
  <cp:lastModifiedBy>Herzing, Jamie</cp:lastModifiedBy>
  <cp:revision>66</cp:revision>
  <cp:lastPrinted>2018-10-31T20:17:00Z</cp:lastPrinted>
  <dcterms:created xsi:type="dcterms:W3CDTF">2025-09-19T16:48:00Z</dcterms:created>
  <dcterms:modified xsi:type="dcterms:W3CDTF">2026-10-09T20:26:00Z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f0e9b6eee047afbfff417c9089091b57160c603bb7aa28bc198caa22d64eb805</vt:lpwstr>
  </property>
</Properties>
</file>