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90771D4" w:rsidR="004C5767" w:rsidRPr="008859E1" w:rsidRDefault="004C5767" w:rsidP="00D27533">
      <w:pPr>
        <w:pStyle w:val="tbody"/>
        <w:rPr>
          <w:b w:val="0"/>
          <w:bCs/>
        </w:rPr>
      </w:pPr>
      <w:r w:rsidRPr="00C02553">
        <w:t>Drug/Drug Class:</w:t>
      </w:r>
      <w:r w:rsidR="003B4820">
        <w:t xml:space="preserve"> </w:t>
      </w:r>
      <w:r w:rsidR="00AD10BD" w:rsidRPr="00AD10BD">
        <w:rPr>
          <w:b w:val="0"/>
          <w:bCs/>
        </w:rPr>
        <w:t>Keratoconjunctivitis Agents PDL Edit</w:t>
      </w:r>
    </w:p>
    <w:p w14:paraId="7AD7FFCE" w14:textId="63107E4F" w:rsidR="004C5767" w:rsidRPr="00C02553" w:rsidRDefault="004C5767" w:rsidP="00D27533">
      <w:pPr>
        <w:pStyle w:val="tbody"/>
      </w:pPr>
      <w:r w:rsidRPr="00C02553">
        <w:t xml:space="preserve">First Implementation Date: </w:t>
      </w:r>
      <w:r w:rsidR="00FE3DF0" w:rsidRPr="00FE3DF0">
        <w:rPr>
          <w:b w:val="0"/>
          <w:bCs/>
        </w:rPr>
        <w:t>January 1, 2020</w:t>
      </w:r>
    </w:p>
    <w:p w14:paraId="4B7D760D" w14:textId="7D7BA850" w:rsidR="004C5767" w:rsidRPr="00D232D9" w:rsidRDefault="00D95E68" w:rsidP="15EB50BA">
      <w:pPr>
        <w:pStyle w:val="tbody"/>
        <w:rPr>
          <w:b w:val="0"/>
        </w:rPr>
      </w:pPr>
      <w:r>
        <w:t>Proposed</w:t>
      </w:r>
      <w:r w:rsidR="004C5767">
        <w:t xml:space="preserve"> Date:</w:t>
      </w:r>
      <w:r w:rsidR="00065C22">
        <w:t xml:space="preserve"> </w:t>
      </w:r>
      <w:r w:rsidR="00FE3DF0">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1AF0A36" w:rsidR="004C5767" w:rsidRPr="00D27533" w:rsidRDefault="004C5767" w:rsidP="00D27533">
      <w:pPr>
        <w:pStyle w:val="tbody"/>
        <w:rPr>
          <w:b w:val="0"/>
          <w:bCs/>
          <w:spacing w:val="-3"/>
        </w:rPr>
      </w:pPr>
      <w:r w:rsidRPr="00C02553">
        <w:t xml:space="preserve">Criteria Status: </w:t>
      </w:r>
      <w:r w:rsidR="00566BE4" w:rsidRPr="006000B4">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2F8C9E9F" w14:textId="44CB77D1" w:rsidR="00EB707A" w:rsidRDefault="00EB707A" w:rsidP="00EB707A">
      <w:r>
        <w:t xml:space="preserve">Keratoconjunctivitis sicca, also known as dry eye disease (DED), is a condition in which a person lacks enough quality tears to lubricate and nourish the eye and effects 6.8 percent of the US adult population. Treatments for DED aim to restore or maintain the normal </w:t>
      </w:r>
      <w:proofErr w:type="gramStart"/>
      <w:r>
        <w:t>amount</w:t>
      </w:r>
      <w:proofErr w:type="gramEnd"/>
      <w:r>
        <w:t xml:space="preserve"> of tears in the eye to minimize dryness and related discomfort.  This can be achieved by supplementing tear production, slowing resorption and evaporation of tears from the surface of the eye, or reducing inflammation.  Topical cyclosporine (Restasis and </w:t>
      </w:r>
      <w:proofErr w:type="spellStart"/>
      <w:r>
        <w:t>Cequa</w:t>
      </w:r>
      <w:proofErr w:type="spellEnd"/>
      <w:r>
        <w:t xml:space="preserve">) and topical </w:t>
      </w:r>
      <w:proofErr w:type="spellStart"/>
      <w:r>
        <w:t>lifitegrast</w:t>
      </w:r>
      <w:proofErr w:type="spellEnd"/>
      <w:r>
        <w:t xml:space="preserve"> (Xiidra) are the market leaders in treatment of DED.  Cyclosporine is a topical immunosuppressive that prevents activation and nuclear translocation of cytoplasmic transcription factors that are required for T-cell activation and inflammatory </w:t>
      </w:r>
      <w:proofErr w:type="spellStart"/>
      <w:r>
        <w:t>cytoline</w:t>
      </w:r>
      <w:proofErr w:type="spellEnd"/>
      <w:r>
        <w:t xml:space="preserve"> production. </w:t>
      </w:r>
      <w:proofErr w:type="spellStart"/>
      <w:r>
        <w:t>Lifitegrast</w:t>
      </w:r>
      <w:proofErr w:type="spellEnd"/>
      <w:r>
        <w:t xml:space="preserve"> is a lymphocyte function-associated antigen 1 (LFA-1) antagonist which works via integrin inhibition that ultimately down-regulates inflammation mediated T lymphocytes. </w:t>
      </w:r>
      <w:proofErr w:type="spellStart"/>
      <w:r>
        <w:t>Tyrvaya</w:t>
      </w:r>
      <w:proofErr w:type="spellEnd"/>
      <w:r>
        <w:t xml:space="preserve">, is a varenicline-based product that functions as a nicotinic activator of muscarinic receptors. </w:t>
      </w:r>
      <w:proofErr w:type="spellStart"/>
      <w:r>
        <w:t>Tyrvaya</w:t>
      </w:r>
      <w:proofErr w:type="spellEnd"/>
      <w:r>
        <w:t xml:space="preserve"> is available as a nasal spray which allows for the activation of the trigeminal nerve and resultant induction of tear production. </w:t>
      </w:r>
      <w:proofErr w:type="spellStart"/>
      <w:r>
        <w:t>Verkazia</w:t>
      </w:r>
      <w:proofErr w:type="spellEnd"/>
      <w:r>
        <w:t xml:space="preserve"> was approved for the treatment of vernal keratoconjunctivitis (VKC) in children and adults in 2022 and was followed by the approval of </w:t>
      </w:r>
      <w:proofErr w:type="spellStart"/>
      <w:r>
        <w:t>Miebo</w:t>
      </w:r>
      <w:proofErr w:type="spellEnd"/>
      <w:r>
        <w:t xml:space="preserve"> and </w:t>
      </w:r>
      <w:proofErr w:type="spellStart"/>
      <w:r>
        <w:t>Vevye</w:t>
      </w:r>
      <w:proofErr w:type="spellEnd"/>
      <w:r>
        <w:t xml:space="preserve"> </w:t>
      </w:r>
      <w:proofErr w:type="gramStart"/>
      <w:r>
        <w:t>for in</w:t>
      </w:r>
      <w:proofErr w:type="gramEnd"/>
      <w:r>
        <w:t xml:space="preserve"> 2023 and </w:t>
      </w:r>
      <w:proofErr w:type="spellStart"/>
      <w:r>
        <w:t>Tryptyr</w:t>
      </w:r>
      <w:proofErr w:type="spellEnd"/>
      <w:r>
        <w:t xml:space="preserve"> in 2025, all for the treatment of DED.</w:t>
      </w:r>
    </w:p>
    <w:p w14:paraId="40AE1686" w14:textId="77777777" w:rsidR="00EB707A" w:rsidRDefault="00EB707A" w:rsidP="00EB707A"/>
    <w:p w14:paraId="28C79136" w14:textId="71A2E792" w:rsidR="009053EA" w:rsidRDefault="00EB707A" w:rsidP="00EB707A">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071AACB0" w14:textId="083B6DE2" w:rsidR="00F55058" w:rsidRPr="00F55058" w:rsidRDefault="00F55058" w:rsidP="00F55058">
      <w:pPr>
        <w:pStyle w:val="ListParagraph"/>
        <w:numPr>
          <w:ilvl w:val="0"/>
          <w:numId w:val="16"/>
        </w:numPr>
        <w:ind w:left="360"/>
        <w:rPr>
          <w:rFonts w:cs="Arial"/>
          <w:szCs w:val="20"/>
        </w:rPr>
      </w:pPr>
      <w:r w:rsidRPr="00F55058">
        <w:rPr>
          <w:rFonts w:cs="Arial"/>
          <w:szCs w:val="20"/>
        </w:rPr>
        <w:t>Restasis</w:t>
      </w:r>
    </w:p>
    <w:p w14:paraId="1224BBE3" w14:textId="6AF32E3F" w:rsidR="009053EA" w:rsidRDefault="00F55058" w:rsidP="00F55058">
      <w:pPr>
        <w:pStyle w:val="ListParagraph"/>
        <w:numPr>
          <w:ilvl w:val="0"/>
          <w:numId w:val="16"/>
        </w:numPr>
        <w:ind w:left="360"/>
        <w:rPr>
          <w:rFonts w:cs="Arial"/>
          <w:szCs w:val="20"/>
        </w:rPr>
      </w:pPr>
      <w:r w:rsidRPr="00F55058">
        <w:rPr>
          <w:rFonts w:cs="Arial"/>
          <w:szCs w:val="20"/>
        </w:rPr>
        <w:t>Xiidra</w:t>
      </w:r>
    </w:p>
    <w:p w14:paraId="6B4C3A2A" w14:textId="77777777" w:rsidR="00C61E91" w:rsidRPr="00F55058" w:rsidRDefault="00C61E91" w:rsidP="00C61E91">
      <w:pPr>
        <w:pStyle w:val="ListParagraph"/>
        <w:numPr>
          <w:ilvl w:val="0"/>
          <w:numId w:val="0"/>
        </w:numPr>
        <w:ind w:left="360"/>
        <w:rPr>
          <w:rFonts w:cs="Arial"/>
          <w:szCs w:val="20"/>
        </w:rPr>
      </w:pPr>
    </w:p>
    <w:p w14:paraId="2648A046" w14:textId="77777777" w:rsidR="009053EA" w:rsidRDefault="009053EA" w:rsidP="009053EA">
      <w:pPr>
        <w:rPr>
          <w:b/>
          <w:bCs/>
        </w:rPr>
      </w:pPr>
      <w:r>
        <w:rPr>
          <w:b/>
          <w:bCs/>
        </w:rPr>
        <w:t>Non-Preferred Agents:</w:t>
      </w:r>
    </w:p>
    <w:p w14:paraId="708A50FB" w14:textId="0A530AF8" w:rsidR="00993FAD" w:rsidRPr="00993FAD" w:rsidRDefault="00993FAD" w:rsidP="00993FAD">
      <w:pPr>
        <w:pStyle w:val="ListParagraph"/>
        <w:numPr>
          <w:ilvl w:val="0"/>
          <w:numId w:val="16"/>
        </w:numPr>
        <w:ind w:left="360"/>
        <w:rPr>
          <w:rFonts w:cs="Arial"/>
          <w:szCs w:val="20"/>
        </w:rPr>
      </w:pPr>
      <w:proofErr w:type="spellStart"/>
      <w:r w:rsidRPr="00993FAD">
        <w:rPr>
          <w:rFonts w:cs="Arial"/>
          <w:szCs w:val="20"/>
        </w:rPr>
        <w:t>Cequa</w:t>
      </w:r>
      <w:proofErr w:type="spellEnd"/>
    </w:p>
    <w:p w14:paraId="0551B123" w14:textId="0AA00966" w:rsidR="00993FAD" w:rsidRPr="00993FAD" w:rsidRDefault="00993FAD" w:rsidP="4C90065C">
      <w:pPr>
        <w:pStyle w:val="ListParagraph"/>
        <w:rPr>
          <w:rFonts w:cs="Arial"/>
        </w:rPr>
      </w:pPr>
      <w:r w:rsidRPr="4C90065C">
        <w:rPr>
          <w:rFonts w:cs="Arial"/>
        </w:rPr>
        <w:t xml:space="preserve">Cyclosporine </w:t>
      </w:r>
      <w:r w:rsidR="6B03DDA9" w:rsidRPr="4C90065C">
        <w:rPr>
          <w:rFonts w:cs="Arial"/>
        </w:rPr>
        <w:t>Opht</w:t>
      </w:r>
      <w:r w:rsidRPr="4C90065C">
        <w:rPr>
          <w:rFonts w:cs="Arial"/>
        </w:rPr>
        <w:t xml:space="preserve"> Emulsion</w:t>
      </w:r>
    </w:p>
    <w:p w14:paraId="2A053A3F" w14:textId="2ED88E68" w:rsidR="00993FAD" w:rsidRPr="00993FAD" w:rsidRDefault="00993FAD" w:rsidP="00993FAD">
      <w:pPr>
        <w:pStyle w:val="ListParagraph"/>
        <w:numPr>
          <w:ilvl w:val="0"/>
          <w:numId w:val="16"/>
        </w:numPr>
        <w:ind w:left="360"/>
        <w:rPr>
          <w:rFonts w:cs="Arial"/>
          <w:szCs w:val="20"/>
        </w:rPr>
      </w:pPr>
      <w:proofErr w:type="spellStart"/>
      <w:r w:rsidRPr="00993FAD">
        <w:rPr>
          <w:rFonts w:cs="Arial"/>
          <w:szCs w:val="20"/>
        </w:rPr>
        <w:t>Miebo</w:t>
      </w:r>
      <w:proofErr w:type="spellEnd"/>
    </w:p>
    <w:p w14:paraId="25985503" w14:textId="44DBFC1B" w:rsidR="00993FAD" w:rsidRPr="00993FAD" w:rsidRDefault="00993FAD" w:rsidP="00993FAD">
      <w:pPr>
        <w:pStyle w:val="ListParagraph"/>
        <w:numPr>
          <w:ilvl w:val="0"/>
          <w:numId w:val="16"/>
        </w:numPr>
        <w:ind w:left="360"/>
        <w:rPr>
          <w:rFonts w:cs="Arial"/>
          <w:szCs w:val="20"/>
        </w:rPr>
      </w:pPr>
      <w:r w:rsidRPr="00993FAD">
        <w:rPr>
          <w:rFonts w:cs="Arial"/>
          <w:szCs w:val="20"/>
        </w:rPr>
        <w:t>Restasis Multidose</w:t>
      </w:r>
    </w:p>
    <w:p w14:paraId="60020A90" w14:textId="466366DC" w:rsidR="00993FAD" w:rsidRPr="00993FAD" w:rsidRDefault="00993FAD" w:rsidP="00993FAD">
      <w:pPr>
        <w:pStyle w:val="ListParagraph"/>
        <w:numPr>
          <w:ilvl w:val="0"/>
          <w:numId w:val="16"/>
        </w:numPr>
        <w:ind w:left="360"/>
        <w:rPr>
          <w:rFonts w:cs="Arial"/>
          <w:szCs w:val="20"/>
        </w:rPr>
      </w:pPr>
      <w:proofErr w:type="spellStart"/>
      <w:r w:rsidRPr="00993FAD">
        <w:rPr>
          <w:rFonts w:cs="Arial"/>
          <w:szCs w:val="20"/>
        </w:rPr>
        <w:t>Tryptyr</w:t>
      </w:r>
      <w:proofErr w:type="spellEnd"/>
    </w:p>
    <w:p w14:paraId="495C122D" w14:textId="6E6DD199" w:rsidR="00993FAD" w:rsidRPr="00993FAD" w:rsidRDefault="00993FAD" w:rsidP="00993FAD">
      <w:pPr>
        <w:pStyle w:val="ListParagraph"/>
        <w:numPr>
          <w:ilvl w:val="0"/>
          <w:numId w:val="16"/>
        </w:numPr>
        <w:ind w:left="360"/>
        <w:rPr>
          <w:rFonts w:cs="Arial"/>
          <w:szCs w:val="20"/>
        </w:rPr>
      </w:pPr>
      <w:proofErr w:type="spellStart"/>
      <w:r w:rsidRPr="00993FAD">
        <w:rPr>
          <w:rFonts w:cs="Arial"/>
          <w:szCs w:val="20"/>
        </w:rPr>
        <w:t>Tyrvaya</w:t>
      </w:r>
      <w:proofErr w:type="spellEnd"/>
    </w:p>
    <w:p w14:paraId="6C321658" w14:textId="060EC5F5" w:rsidR="00993FAD" w:rsidRPr="00993FAD" w:rsidRDefault="00993FAD" w:rsidP="00993FAD">
      <w:pPr>
        <w:pStyle w:val="ListParagraph"/>
        <w:numPr>
          <w:ilvl w:val="0"/>
          <w:numId w:val="16"/>
        </w:numPr>
        <w:ind w:left="360"/>
        <w:rPr>
          <w:rFonts w:cs="Arial"/>
          <w:szCs w:val="20"/>
        </w:rPr>
      </w:pPr>
      <w:proofErr w:type="spellStart"/>
      <w:r w:rsidRPr="00993FAD">
        <w:rPr>
          <w:rFonts w:cs="Arial"/>
          <w:szCs w:val="20"/>
        </w:rPr>
        <w:t>Verkazia</w:t>
      </w:r>
      <w:proofErr w:type="spellEnd"/>
    </w:p>
    <w:p w14:paraId="420D0311" w14:textId="7FCD06B7" w:rsidR="00F55058" w:rsidRPr="00993FAD" w:rsidRDefault="00993FAD" w:rsidP="00993FAD">
      <w:pPr>
        <w:pStyle w:val="ListParagraph"/>
        <w:numPr>
          <w:ilvl w:val="0"/>
          <w:numId w:val="16"/>
        </w:numPr>
        <w:ind w:left="360"/>
        <w:rPr>
          <w:rFonts w:cs="Arial"/>
          <w:szCs w:val="20"/>
        </w:rPr>
      </w:pPr>
      <w:proofErr w:type="spellStart"/>
      <w:r w:rsidRPr="00993FAD">
        <w:rPr>
          <w:rFonts w:cs="Arial"/>
          <w:szCs w:val="20"/>
        </w:rPr>
        <w:t>Vevye</w:t>
      </w:r>
      <w:proofErr w:type="spellEnd"/>
    </w:p>
    <w:p w14:paraId="5E0115EF" w14:textId="77777777" w:rsidR="00FF3528" w:rsidRDefault="00FF3528">
      <w:pPr>
        <w:rPr>
          <w:rFonts w:cs="Arial"/>
          <w:b/>
          <w:color w:val="595959"/>
          <w:sz w:val="40"/>
          <w:szCs w:val="40"/>
        </w:rPr>
      </w:pPr>
      <w:r>
        <w:br w:type="page"/>
      </w:r>
    </w:p>
    <w:p w14:paraId="4B3968BB" w14:textId="2371C0E0" w:rsidR="009053EA" w:rsidRPr="00C02553" w:rsidRDefault="009053EA" w:rsidP="009053EA">
      <w:pPr>
        <w:pStyle w:val="Heading1"/>
        <w:rPr>
          <w:lang w:val="en-US"/>
        </w:rPr>
      </w:pPr>
      <w:r w:rsidRPr="00C02553">
        <w:rPr>
          <w:lang w:val="en-US"/>
        </w:rPr>
        <w:lastRenderedPageBreak/>
        <w:t xml:space="preserve">Setting &amp; Population </w:t>
      </w:r>
    </w:p>
    <w:p w14:paraId="7473BCD3" w14:textId="15B744B0" w:rsidR="009053EA" w:rsidRPr="0079438F" w:rsidRDefault="009053EA" w:rsidP="009053EA">
      <w:pPr>
        <w:rPr>
          <w:b/>
        </w:rPr>
      </w:pPr>
      <w:r w:rsidRPr="00696E3A">
        <w:rPr>
          <w:b/>
          <w:bCs/>
        </w:rPr>
        <w:t>Drug class for review:</w:t>
      </w:r>
      <w:r w:rsidRPr="00C02553">
        <w:t xml:space="preserve"> </w:t>
      </w:r>
      <w:r w:rsidR="000544A1" w:rsidRPr="000544A1">
        <w:t>Keratoconjunctivitis Agents</w:t>
      </w:r>
    </w:p>
    <w:p w14:paraId="171FE444" w14:textId="77777777"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7A45EA7F" w14:textId="77777777" w:rsidR="00BA6706" w:rsidRPr="00BA6706" w:rsidRDefault="00BA6706" w:rsidP="00BA6706">
      <w:pPr>
        <w:numPr>
          <w:ilvl w:val="0"/>
          <w:numId w:val="18"/>
        </w:numPr>
        <w:contextualSpacing/>
        <w:rPr>
          <w:rFonts w:cs="Arial"/>
          <w:bCs/>
          <w:szCs w:val="20"/>
        </w:rPr>
      </w:pPr>
      <w:r w:rsidRPr="00BA6706">
        <w:rPr>
          <w:rFonts w:cs="Arial"/>
          <w:bCs/>
          <w:szCs w:val="20"/>
        </w:rPr>
        <w:t>Must meet one of the following:</w:t>
      </w:r>
    </w:p>
    <w:p w14:paraId="6741FF53" w14:textId="77777777" w:rsidR="00BA6706" w:rsidRPr="00BA6706" w:rsidRDefault="00BA6706" w:rsidP="00BA6706">
      <w:pPr>
        <w:numPr>
          <w:ilvl w:val="1"/>
          <w:numId w:val="18"/>
        </w:numPr>
        <w:contextualSpacing/>
        <w:rPr>
          <w:rFonts w:cs="Arial"/>
          <w:bCs/>
          <w:szCs w:val="20"/>
        </w:rPr>
      </w:pPr>
      <w:r w:rsidRPr="00BA6706">
        <w:rPr>
          <w:rFonts w:cs="Arial"/>
          <w:bCs/>
          <w:szCs w:val="20"/>
        </w:rPr>
        <w:t xml:space="preserve">Claim is for a preferred agent; </w:t>
      </w:r>
      <w:r w:rsidRPr="00BA6706">
        <w:rPr>
          <w:rFonts w:cs="Arial"/>
          <w:b/>
          <w:szCs w:val="20"/>
        </w:rPr>
        <w:t>OR</w:t>
      </w:r>
    </w:p>
    <w:p w14:paraId="69ECF049" w14:textId="77777777" w:rsidR="00BA6706" w:rsidRPr="00BA6706" w:rsidRDefault="00BA6706" w:rsidP="00BA6706">
      <w:pPr>
        <w:numPr>
          <w:ilvl w:val="1"/>
          <w:numId w:val="18"/>
        </w:numPr>
        <w:contextualSpacing/>
        <w:rPr>
          <w:rFonts w:cs="Arial"/>
          <w:bCs/>
          <w:szCs w:val="20"/>
        </w:rPr>
      </w:pPr>
      <w:r w:rsidRPr="00BA6706">
        <w:rPr>
          <w:rFonts w:cs="Arial"/>
          <w:bCs/>
          <w:szCs w:val="20"/>
        </w:rPr>
        <w:t>Failure to achieve desired therapeutic outcomes with trial on 2 or more preferred agents:</w:t>
      </w:r>
    </w:p>
    <w:p w14:paraId="41CB1841" w14:textId="77777777" w:rsidR="00BA6706" w:rsidRPr="00BA6706" w:rsidRDefault="00BA6706" w:rsidP="000C639F">
      <w:pPr>
        <w:numPr>
          <w:ilvl w:val="2"/>
          <w:numId w:val="18"/>
        </w:numPr>
        <w:ind w:left="1080"/>
        <w:contextualSpacing/>
        <w:rPr>
          <w:rFonts w:cs="Arial"/>
          <w:bCs/>
          <w:szCs w:val="20"/>
        </w:rPr>
      </w:pPr>
      <w:r w:rsidRPr="00BA6706">
        <w:rPr>
          <w:rFonts w:cs="Arial"/>
          <w:bCs/>
          <w:szCs w:val="20"/>
        </w:rPr>
        <w:t xml:space="preserve">Documented trial period for preferred agents; </w:t>
      </w:r>
      <w:r w:rsidRPr="00BA6706">
        <w:rPr>
          <w:rFonts w:cs="Arial"/>
          <w:b/>
          <w:bCs/>
          <w:szCs w:val="20"/>
        </w:rPr>
        <w:t>OR</w:t>
      </w:r>
    </w:p>
    <w:p w14:paraId="276E597F" w14:textId="77777777" w:rsidR="00BA6706" w:rsidRPr="00BA6706" w:rsidRDefault="00BA6706" w:rsidP="000C639F">
      <w:pPr>
        <w:numPr>
          <w:ilvl w:val="2"/>
          <w:numId w:val="18"/>
        </w:numPr>
        <w:ind w:left="1080"/>
        <w:contextualSpacing/>
        <w:rPr>
          <w:rFonts w:cs="Arial"/>
          <w:bCs/>
          <w:szCs w:val="20"/>
        </w:rPr>
      </w:pPr>
      <w:r w:rsidRPr="00BA6706">
        <w:rPr>
          <w:rFonts w:cs="Arial"/>
          <w:bCs/>
          <w:szCs w:val="20"/>
        </w:rPr>
        <w:t>Documented ADE/ADR to preferred agents.</w:t>
      </w:r>
    </w:p>
    <w:p w14:paraId="4F6C157B" w14:textId="77777777" w:rsidR="00BA6706" w:rsidRPr="00BA6706" w:rsidRDefault="00BA6706" w:rsidP="00BA6706">
      <w:pPr>
        <w:numPr>
          <w:ilvl w:val="0"/>
          <w:numId w:val="18"/>
        </w:numPr>
        <w:contextualSpacing/>
        <w:rPr>
          <w:rFonts w:cs="Arial"/>
          <w:bCs/>
          <w:szCs w:val="20"/>
        </w:rPr>
      </w:pPr>
      <w:r w:rsidRPr="00BA6706">
        <w:rPr>
          <w:rFonts w:cs="Arial"/>
          <w:bCs/>
          <w:szCs w:val="20"/>
        </w:rPr>
        <w:t xml:space="preserve">Additional approval criteria for </w:t>
      </w:r>
      <w:proofErr w:type="spellStart"/>
      <w:r w:rsidRPr="00BA6706">
        <w:rPr>
          <w:rFonts w:cs="Arial"/>
          <w:bCs/>
          <w:szCs w:val="20"/>
        </w:rPr>
        <w:t>Verkazia</w:t>
      </w:r>
      <w:proofErr w:type="spellEnd"/>
      <w:r w:rsidRPr="00BA6706">
        <w:rPr>
          <w:rFonts w:cs="Arial"/>
          <w:bCs/>
          <w:szCs w:val="20"/>
        </w:rPr>
        <w:t xml:space="preserve"> and </w:t>
      </w:r>
      <w:proofErr w:type="spellStart"/>
      <w:r w:rsidRPr="00BA6706">
        <w:rPr>
          <w:rFonts w:cs="Arial"/>
          <w:bCs/>
          <w:szCs w:val="20"/>
        </w:rPr>
        <w:t>Vevye</w:t>
      </w:r>
      <w:proofErr w:type="spellEnd"/>
      <w:r w:rsidRPr="00BA6706">
        <w:rPr>
          <w:rFonts w:cs="Arial"/>
          <w:bCs/>
          <w:szCs w:val="20"/>
        </w:rPr>
        <w:t>:</w:t>
      </w:r>
    </w:p>
    <w:p w14:paraId="0081004E" w14:textId="77777777" w:rsidR="00BA6706" w:rsidRPr="00BA6706" w:rsidRDefault="00BA6706" w:rsidP="00BA6706">
      <w:pPr>
        <w:numPr>
          <w:ilvl w:val="1"/>
          <w:numId w:val="18"/>
        </w:numPr>
        <w:contextualSpacing/>
        <w:rPr>
          <w:rFonts w:cs="Arial"/>
          <w:bCs/>
          <w:szCs w:val="20"/>
        </w:rPr>
      </w:pPr>
      <w:r w:rsidRPr="00BA6706">
        <w:rPr>
          <w:rFonts w:cs="Arial"/>
          <w:bCs/>
          <w:szCs w:val="20"/>
        </w:rPr>
        <w:t xml:space="preserve">Documented therapeutic trial of brand name Restasis and </w:t>
      </w:r>
      <w:proofErr w:type="spellStart"/>
      <w:r w:rsidRPr="00BA6706">
        <w:rPr>
          <w:rFonts w:cs="Arial"/>
          <w:bCs/>
          <w:szCs w:val="20"/>
        </w:rPr>
        <w:t>Cequa</w:t>
      </w:r>
      <w:proofErr w:type="spellEnd"/>
      <w:r w:rsidRPr="00BA6706">
        <w:rPr>
          <w:rFonts w:cs="Arial"/>
          <w:bCs/>
          <w:szCs w:val="20"/>
        </w:rPr>
        <w:t>.</w:t>
      </w:r>
    </w:p>
    <w:p w14:paraId="6FF56409" w14:textId="60251612" w:rsidR="00BA6706" w:rsidRPr="00BA6706" w:rsidRDefault="00BA6706" w:rsidP="00BA6706">
      <w:pPr>
        <w:numPr>
          <w:ilvl w:val="0"/>
          <w:numId w:val="18"/>
        </w:numPr>
        <w:contextualSpacing/>
        <w:rPr>
          <w:rFonts w:cs="Arial"/>
          <w:bCs/>
          <w:szCs w:val="20"/>
        </w:rPr>
      </w:pPr>
      <w:r w:rsidRPr="00BA6706">
        <w:rPr>
          <w:rFonts w:cs="Arial"/>
          <w:bCs/>
          <w:szCs w:val="20"/>
        </w:rPr>
        <w:t xml:space="preserve">Additional approval criteria for </w:t>
      </w:r>
      <w:proofErr w:type="spellStart"/>
      <w:r w:rsidRPr="00BA6706">
        <w:rPr>
          <w:rFonts w:cs="Arial"/>
          <w:bCs/>
          <w:szCs w:val="20"/>
        </w:rPr>
        <w:t>M</w:t>
      </w:r>
      <w:r w:rsidR="00A43A94">
        <w:rPr>
          <w:rFonts w:cs="Arial"/>
          <w:bCs/>
          <w:szCs w:val="20"/>
        </w:rPr>
        <w:t>ie</w:t>
      </w:r>
      <w:r w:rsidRPr="00BA6706">
        <w:rPr>
          <w:rFonts w:cs="Arial"/>
          <w:bCs/>
          <w:szCs w:val="20"/>
        </w:rPr>
        <w:t>bo</w:t>
      </w:r>
      <w:proofErr w:type="spellEnd"/>
      <w:r w:rsidRPr="00BA6706">
        <w:rPr>
          <w:rFonts w:cs="Arial"/>
          <w:bCs/>
          <w:szCs w:val="20"/>
        </w:rPr>
        <w:t xml:space="preserve"> and </w:t>
      </w:r>
      <w:proofErr w:type="spellStart"/>
      <w:r w:rsidRPr="00BA6706">
        <w:rPr>
          <w:rFonts w:cs="Arial"/>
          <w:bCs/>
          <w:szCs w:val="20"/>
        </w:rPr>
        <w:t>Tryptyr</w:t>
      </w:r>
      <w:proofErr w:type="spellEnd"/>
      <w:r w:rsidRPr="00BA6706">
        <w:rPr>
          <w:rFonts w:cs="Arial"/>
          <w:bCs/>
          <w:szCs w:val="20"/>
        </w:rPr>
        <w:t>:</w:t>
      </w:r>
    </w:p>
    <w:p w14:paraId="340B93D9" w14:textId="77777777" w:rsidR="00BA6706" w:rsidRPr="00BA6706" w:rsidRDefault="00BA6706" w:rsidP="00BA6706">
      <w:pPr>
        <w:numPr>
          <w:ilvl w:val="1"/>
          <w:numId w:val="18"/>
        </w:numPr>
        <w:contextualSpacing/>
        <w:rPr>
          <w:rFonts w:cs="Arial"/>
          <w:bCs/>
          <w:szCs w:val="20"/>
        </w:rPr>
      </w:pPr>
      <w:r w:rsidRPr="00BA6706">
        <w:rPr>
          <w:rFonts w:cs="Arial"/>
          <w:bCs/>
          <w:szCs w:val="20"/>
        </w:rPr>
        <w:t xml:space="preserve">Documented therapeutic trial of </w:t>
      </w:r>
      <w:proofErr w:type="spellStart"/>
      <w:r w:rsidRPr="00BA6706">
        <w:rPr>
          <w:rFonts w:cs="Arial"/>
          <w:bCs/>
          <w:szCs w:val="20"/>
        </w:rPr>
        <w:t>Tyrvaya</w:t>
      </w:r>
      <w:proofErr w:type="spellEnd"/>
      <w:r w:rsidRPr="00BA6706">
        <w:rPr>
          <w:rFonts w:cs="Arial"/>
          <w:bCs/>
          <w:szCs w:val="20"/>
        </w:rPr>
        <w:t>.</w:t>
      </w:r>
    </w:p>
    <w:p w14:paraId="5BD3C1EC" w14:textId="77777777" w:rsidR="009053EA" w:rsidRPr="002C2C41" w:rsidRDefault="009053EA" w:rsidP="009053EA">
      <w:pPr>
        <w:rPr>
          <w:rFonts w:cs="Arial"/>
          <w:szCs w:val="20"/>
        </w:rPr>
      </w:pPr>
    </w:p>
    <w:p w14:paraId="65C37038" w14:textId="77777777" w:rsidR="009053EA" w:rsidRDefault="009053EA" w:rsidP="009053EA">
      <w:pPr>
        <w:pStyle w:val="Heading1"/>
        <w:rPr>
          <w:lang w:val="en-US"/>
        </w:rPr>
      </w:pPr>
      <w:r w:rsidRPr="00C02553">
        <w:rPr>
          <w:lang w:val="en-US"/>
        </w:rPr>
        <w:t>Denial Criteria</w:t>
      </w:r>
    </w:p>
    <w:p w14:paraId="2CBB187A" w14:textId="77777777" w:rsidR="008F0E36" w:rsidRPr="008F0E36" w:rsidRDefault="008F0E36" w:rsidP="008F0E36">
      <w:pPr>
        <w:numPr>
          <w:ilvl w:val="0"/>
          <w:numId w:val="18"/>
        </w:numPr>
        <w:contextualSpacing/>
        <w:rPr>
          <w:rFonts w:cs="Arial"/>
          <w:noProof/>
          <w:szCs w:val="20"/>
        </w:rPr>
      </w:pPr>
      <w:r w:rsidRPr="008F0E36">
        <w:rPr>
          <w:rFonts w:cs="Arial"/>
          <w:noProof/>
          <w:szCs w:val="20"/>
        </w:rPr>
        <w:t>Therapy will deny with presence of any of the following:</w:t>
      </w:r>
    </w:p>
    <w:p w14:paraId="20A6C5B2" w14:textId="77777777" w:rsidR="008F0E36" w:rsidRPr="008F0E36" w:rsidRDefault="008F0E36" w:rsidP="008F0E36">
      <w:pPr>
        <w:numPr>
          <w:ilvl w:val="1"/>
          <w:numId w:val="18"/>
        </w:numPr>
        <w:ind w:left="1080"/>
        <w:contextualSpacing/>
        <w:rPr>
          <w:rFonts w:cs="Arial"/>
          <w:noProof/>
          <w:szCs w:val="20"/>
        </w:rPr>
      </w:pPr>
      <w:r w:rsidRPr="008F0E36">
        <w:rPr>
          <w:rFonts w:cs="Arial"/>
          <w:noProof/>
          <w:szCs w:val="20"/>
        </w:rPr>
        <w:t xml:space="preserve">Any approval criteria are not met; </w:t>
      </w:r>
      <w:r w:rsidRPr="008F0E36">
        <w:rPr>
          <w:rFonts w:cs="Arial"/>
          <w:b/>
          <w:bCs/>
          <w:noProof/>
          <w:szCs w:val="20"/>
        </w:rPr>
        <w:t>OR</w:t>
      </w:r>
    </w:p>
    <w:p w14:paraId="38FB0FE6" w14:textId="77777777" w:rsidR="008F0E36" w:rsidRPr="008F0E36" w:rsidRDefault="008F0E36" w:rsidP="008F0E36">
      <w:pPr>
        <w:numPr>
          <w:ilvl w:val="1"/>
          <w:numId w:val="18"/>
        </w:numPr>
        <w:ind w:left="1080"/>
        <w:contextualSpacing/>
        <w:rPr>
          <w:rFonts w:cs="Arial"/>
          <w:noProof/>
          <w:color w:val="000000" w:themeColor="text1"/>
          <w:szCs w:val="20"/>
        </w:rPr>
      </w:pPr>
      <w:r w:rsidRPr="008F0E36">
        <w:rPr>
          <w:rFonts w:cs="Arial"/>
          <w:noProof/>
          <w:color w:val="000000" w:themeColor="text1"/>
          <w:szCs w:val="20"/>
        </w:rPr>
        <w:t>Claim exceeds maximum dosing limitation for the following:</w:t>
      </w:r>
    </w:p>
    <w:tbl>
      <w:tblPr>
        <w:tblW w:w="909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3240"/>
        <w:gridCol w:w="2970"/>
      </w:tblGrid>
      <w:tr w:rsidR="008F0E36" w:rsidRPr="008F0E36" w14:paraId="0AC53703" w14:textId="77777777" w:rsidTr="000710E7">
        <w:tc>
          <w:tcPr>
            <w:tcW w:w="2880" w:type="dxa"/>
            <w:shd w:val="clear" w:color="auto" w:fill="FABF8F" w:themeFill="accent6" w:themeFillTint="99"/>
            <w:vAlign w:val="bottom"/>
          </w:tcPr>
          <w:p w14:paraId="129DBEAA" w14:textId="77777777" w:rsidR="008F0E36" w:rsidRPr="008F0E36" w:rsidRDefault="008F0E36" w:rsidP="008F0E36">
            <w:pPr>
              <w:rPr>
                <w:rFonts w:cs="Arial"/>
                <w:b/>
                <w:bCs/>
                <w:color w:val="000000" w:themeColor="text1"/>
                <w:szCs w:val="20"/>
              </w:rPr>
            </w:pPr>
            <w:r w:rsidRPr="008F0E36">
              <w:rPr>
                <w:rFonts w:cs="Arial"/>
                <w:b/>
                <w:bCs/>
                <w:color w:val="000000" w:themeColor="text1"/>
                <w:szCs w:val="20"/>
              </w:rPr>
              <w:t>Drug Description</w:t>
            </w:r>
          </w:p>
        </w:tc>
        <w:tc>
          <w:tcPr>
            <w:tcW w:w="3240" w:type="dxa"/>
            <w:shd w:val="clear" w:color="auto" w:fill="FABF8F" w:themeFill="accent6" w:themeFillTint="99"/>
            <w:vAlign w:val="bottom"/>
          </w:tcPr>
          <w:p w14:paraId="48A8424B" w14:textId="77777777" w:rsidR="008F0E36" w:rsidRPr="008F0E36" w:rsidRDefault="008F0E36" w:rsidP="008F0E36">
            <w:pPr>
              <w:rPr>
                <w:rFonts w:cs="Arial"/>
                <w:b/>
                <w:bCs/>
                <w:color w:val="000000" w:themeColor="text1"/>
                <w:szCs w:val="20"/>
              </w:rPr>
            </w:pPr>
            <w:r w:rsidRPr="008F0E36">
              <w:rPr>
                <w:rFonts w:cs="Arial"/>
                <w:b/>
                <w:bCs/>
                <w:color w:val="000000" w:themeColor="text1"/>
                <w:szCs w:val="20"/>
              </w:rPr>
              <w:t>Generic Equivalent</w:t>
            </w:r>
          </w:p>
        </w:tc>
        <w:tc>
          <w:tcPr>
            <w:tcW w:w="2970" w:type="dxa"/>
            <w:shd w:val="clear" w:color="auto" w:fill="FABF8F" w:themeFill="accent6" w:themeFillTint="99"/>
          </w:tcPr>
          <w:p w14:paraId="7A041C79" w14:textId="77777777" w:rsidR="008F0E36" w:rsidRPr="008F0E36" w:rsidRDefault="008F0E36" w:rsidP="008F0E36">
            <w:pPr>
              <w:rPr>
                <w:rFonts w:cs="Arial"/>
                <w:b/>
                <w:bCs/>
                <w:color w:val="000000" w:themeColor="text1"/>
                <w:szCs w:val="20"/>
              </w:rPr>
            </w:pPr>
            <w:r w:rsidRPr="008F0E36">
              <w:rPr>
                <w:rFonts w:cs="Arial"/>
                <w:b/>
                <w:bCs/>
                <w:color w:val="000000" w:themeColor="text1"/>
                <w:szCs w:val="20"/>
              </w:rPr>
              <w:t>Max Dosing Limitation</w:t>
            </w:r>
          </w:p>
        </w:tc>
      </w:tr>
      <w:tr w:rsidR="008F0E36" w:rsidRPr="008F0E36" w14:paraId="05F048A3" w14:textId="77777777" w:rsidTr="000710E7">
        <w:tc>
          <w:tcPr>
            <w:tcW w:w="2880" w:type="dxa"/>
            <w:tcBorders>
              <w:top w:val="single" w:sz="4" w:space="0" w:color="auto"/>
              <w:left w:val="single" w:sz="4" w:space="0" w:color="auto"/>
              <w:bottom w:val="single" w:sz="4" w:space="0" w:color="auto"/>
              <w:right w:val="single" w:sz="4" w:space="0" w:color="auto"/>
            </w:tcBorders>
            <w:vAlign w:val="center"/>
          </w:tcPr>
          <w:p w14:paraId="4ADC14AD" w14:textId="77777777" w:rsidR="008F0E36" w:rsidRPr="008F0E36" w:rsidRDefault="008F0E36" w:rsidP="008F0E36">
            <w:pPr>
              <w:jc w:val="both"/>
              <w:rPr>
                <w:rFonts w:cs="Arial"/>
                <w:color w:val="000000" w:themeColor="text1"/>
                <w:szCs w:val="20"/>
              </w:rPr>
            </w:pPr>
            <w:r w:rsidRPr="008F0E36">
              <w:rPr>
                <w:rFonts w:cs="Arial"/>
                <w:color w:val="000000" w:themeColor="text1"/>
                <w:szCs w:val="20"/>
              </w:rPr>
              <w:t>VEVYE 0.1% EYE DROP</w:t>
            </w:r>
          </w:p>
        </w:tc>
        <w:tc>
          <w:tcPr>
            <w:tcW w:w="3240" w:type="dxa"/>
            <w:tcBorders>
              <w:top w:val="single" w:sz="4" w:space="0" w:color="auto"/>
              <w:left w:val="single" w:sz="4" w:space="0" w:color="auto"/>
              <w:bottom w:val="single" w:sz="4" w:space="0" w:color="auto"/>
              <w:right w:val="single" w:sz="4" w:space="0" w:color="auto"/>
            </w:tcBorders>
            <w:vAlign w:val="center"/>
          </w:tcPr>
          <w:p w14:paraId="78121F97" w14:textId="77777777" w:rsidR="008F0E36" w:rsidRPr="008F0E36" w:rsidRDefault="008F0E36" w:rsidP="008F0E36">
            <w:pPr>
              <w:rPr>
                <w:rFonts w:cs="Arial"/>
                <w:color w:val="000000" w:themeColor="text1"/>
                <w:szCs w:val="20"/>
              </w:rPr>
            </w:pPr>
            <w:r w:rsidRPr="008F0E36">
              <w:rPr>
                <w:rFonts w:cs="Arial"/>
                <w:color w:val="000000" w:themeColor="text1"/>
                <w:szCs w:val="20"/>
              </w:rPr>
              <w:t>CYCLOSPORINE</w:t>
            </w:r>
          </w:p>
        </w:tc>
        <w:tc>
          <w:tcPr>
            <w:tcW w:w="2970" w:type="dxa"/>
            <w:tcBorders>
              <w:top w:val="single" w:sz="4" w:space="0" w:color="auto"/>
              <w:left w:val="single" w:sz="4" w:space="0" w:color="auto"/>
              <w:bottom w:val="single" w:sz="4" w:space="0" w:color="auto"/>
              <w:right w:val="single" w:sz="4" w:space="0" w:color="auto"/>
            </w:tcBorders>
          </w:tcPr>
          <w:p w14:paraId="6A52CF86" w14:textId="77777777" w:rsidR="008F0E36" w:rsidRPr="008F0E36" w:rsidRDefault="008F0E36" w:rsidP="008F0E36">
            <w:pPr>
              <w:rPr>
                <w:rFonts w:cs="Arial"/>
                <w:caps/>
                <w:color w:val="000000" w:themeColor="text1"/>
                <w:szCs w:val="20"/>
              </w:rPr>
            </w:pPr>
            <w:r w:rsidRPr="008F0E36">
              <w:rPr>
                <w:rFonts w:cs="Arial"/>
                <w:caps/>
                <w:color w:val="000000" w:themeColor="text1"/>
                <w:szCs w:val="20"/>
              </w:rPr>
              <w:t>2 ML EVERY 28 DAYS</w:t>
            </w:r>
          </w:p>
        </w:tc>
      </w:tr>
    </w:tbl>
    <w:p w14:paraId="4EC5C07A" w14:textId="77777777" w:rsidR="008F0E36" w:rsidRPr="008F0E36" w:rsidRDefault="008F0E36" w:rsidP="008F0E36"/>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36A44729" w14:textId="3E53B950" w:rsidR="004E094A" w:rsidRPr="00D12324" w:rsidRDefault="009053EA" w:rsidP="00D12324">
      <w:pPr>
        <w:pStyle w:val="Heading1"/>
        <w:rPr>
          <w:lang w:val="en-US"/>
        </w:rPr>
      </w:pPr>
      <w:r w:rsidRPr="00C02553">
        <w:rPr>
          <w:lang w:val="en-US"/>
        </w:rPr>
        <w:t>References</w:t>
      </w:r>
    </w:p>
    <w:p w14:paraId="7FF04017" w14:textId="77777777" w:rsidR="00FF3528" w:rsidRPr="00FF3528" w:rsidRDefault="00FF3528" w:rsidP="00FF3528">
      <w:pPr>
        <w:numPr>
          <w:ilvl w:val="0"/>
          <w:numId w:val="19"/>
        </w:numPr>
        <w:rPr>
          <w:rFonts w:cs="Arial"/>
        </w:rPr>
      </w:pPr>
      <w:r w:rsidRPr="00FF3528">
        <w:rPr>
          <w:rFonts w:cs="Arial"/>
        </w:rPr>
        <w:t>Evidence-Based Medicine Analysis: “Xerophthalmia (Dry Eye) Products”, UMKC-DIC; June 2025.</w:t>
      </w:r>
    </w:p>
    <w:p w14:paraId="3ED7B6AE" w14:textId="77777777" w:rsidR="00FF3528" w:rsidRPr="00FF3528" w:rsidRDefault="00FF3528" w:rsidP="00FF3528">
      <w:pPr>
        <w:numPr>
          <w:ilvl w:val="0"/>
          <w:numId w:val="19"/>
        </w:numPr>
        <w:rPr>
          <w:rFonts w:cs="Arial"/>
        </w:rPr>
      </w:pPr>
      <w:r w:rsidRPr="00FF3528">
        <w:rPr>
          <w:rFonts w:cs="Arial"/>
        </w:rPr>
        <w:t>Evidence-Based Medicine and Fiscal Analysis: “Keratoconjunctivitis – Therapeutic Class Review”, Gainwell Technologies; last updated July 28, 2025.</w:t>
      </w:r>
    </w:p>
    <w:p w14:paraId="748802A8" w14:textId="77777777" w:rsidR="00FF3528" w:rsidRPr="00FF3528" w:rsidRDefault="00FF3528" w:rsidP="00FF3528">
      <w:pPr>
        <w:numPr>
          <w:ilvl w:val="0"/>
          <w:numId w:val="19"/>
        </w:numPr>
        <w:rPr>
          <w:rFonts w:cs="Arial"/>
          <w:szCs w:val="20"/>
        </w:rPr>
      </w:pPr>
      <w:r w:rsidRPr="00FF3528">
        <w:rPr>
          <w:rFonts w:cs="Arial"/>
          <w:szCs w:val="20"/>
          <w:shd w:val="clear" w:color="auto" w:fill="FFFFFF"/>
        </w:rPr>
        <w:t>Farrand K, Fridman M, Stillman I, Schaumberg D. Prevalence of Diagnosed Dry Eye Disease in the United States Among Adults Aged 18 Years and Older. </w:t>
      </w:r>
      <w:r w:rsidRPr="00FF3528">
        <w:rPr>
          <w:rFonts w:cs="Arial"/>
          <w:i/>
          <w:iCs/>
          <w:szCs w:val="20"/>
          <w:shd w:val="clear" w:color="auto" w:fill="FFFFFF"/>
        </w:rPr>
        <w:t xml:space="preserve">Am J </w:t>
      </w:r>
      <w:proofErr w:type="spellStart"/>
      <w:r w:rsidRPr="00FF3528">
        <w:rPr>
          <w:rFonts w:cs="Arial"/>
          <w:i/>
          <w:iCs/>
          <w:szCs w:val="20"/>
          <w:shd w:val="clear" w:color="auto" w:fill="FFFFFF"/>
        </w:rPr>
        <w:t>Ophthalmol</w:t>
      </w:r>
      <w:proofErr w:type="spellEnd"/>
      <w:r w:rsidRPr="00FF3528">
        <w:rPr>
          <w:rFonts w:cs="Arial"/>
          <w:i/>
          <w:iCs/>
          <w:szCs w:val="20"/>
          <w:shd w:val="clear" w:color="auto" w:fill="FFFFFF"/>
        </w:rPr>
        <w:t> </w:t>
      </w:r>
      <w:proofErr w:type="gramStart"/>
      <w:r w:rsidRPr="00FF3528">
        <w:rPr>
          <w:rFonts w:cs="Arial"/>
          <w:szCs w:val="20"/>
          <w:shd w:val="clear" w:color="auto" w:fill="FFFFFF"/>
        </w:rPr>
        <w:t>2017;182:90</w:t>
      </w:r>
      <w:proofErr w:type="gramEnd"/>
      <w:r w:rsidRPr="00FF3528">
        <w:rPr>
          <w:rFonts w:cs="Arial"/>
          <w:szCs w:val="20"/>
          <w:shd w:val="clear" w:color="auto" w:fill="FFFFFF"/>
        </w:rPr>
        <w:t>-8.</w:t>
      </w:r>
    </w:p>
    <w:p w14:paraId="20DAD1E2" w14:textId="1D8E3EEA" w:rsidR="00FF3528" w:rsidRPr="00FF3528" w:rsidRDefault="00FF3528" w:rsidP="00FF3528">
      <w:pPr>
        <w:numPr>
          <w:ilvl w:val="0"/>
          <w:numId w:val="19"/>
        </w:numPr>
        <w:rPr>
          <w:rFonts w:cs="Arial"/>
          <w:szCs w:val="20"/>
        </w:rPr>
      </w:pPr>
      <w:bookmarkStart w:id="1" w:name="_Hlk34121003"/>
      <w:bookmarkStart w:id="2" w:name="_Hlk46147642"/>
      <w:r w:rsidRPr="00FF3528">
        <w:rPr>
          <w:rFonts w:cs="Arial"/>
          <w:szCs w:val="20"/>
        </w:rPr>
        <w:t>USPDI, Micromedex; 202</w:t>
      </w:r>
      <w:r w:rsidR="000B50E7">
        <w:rPr>
          <w:rFonts w:cs="Arial"/>
          <w:szCs w:val="20"/>
        </w:rPr>
        <w:t>6</w:t>
      </w:r>
      <w:r w:rsidRPr="00FF3528">
        <w:rPr>
          <w:rFonts w:cs="Arial"/>
          <w:szCs w:val="20"/>
        </w:rPr>
        <w:t xml:space="preserve">. </w:t>
      </w:r>
    </w:p>
    <w:p w14:paraId="05B27F7B" w14:textId="0D28C72C" w:rsidR="00FF3528" w:rsidRPr="00FF3528" w:rsidRDefault="00FF3528" w:rsidP="00FF3528">
      <w:pPr>
        <w:numPr>
          <w:ilvl w:val="0"/>
          <w:numId w:val="19"/>
        </w:numPr>
        <w:rPr>
          <w:rFonts w:cs="Arial"/>
          <w:szCs w:val="20"/>
        </w:rPr>
      </w:pPr>
      <w:bookmarkStart w:id="3" w:name="_Hlk45607827"/>
      <w:r w:rsidRPr="00FF3528">
        <w:rPr>
          <w:rFonts w:cs="Arial"/>
          <w:szCs w:val="20"/>
        </w:rPr>
        <w:t xml:space="preserve">Facts and Comparisons </w:t>
      </w:r>
      <w:proofErr w:type="spellStart"/>
      <w:r w:rsidRPr="00FF3528">
        <w:rPr>
          <w:rFonts w:cs="Arial"/>
          <w:szCs w:val="20"/>
        </w:rPr>
        <w:t>eAnswers</w:t>
      </w:r>
      <w:proofErr w:type="spellEnd"/>
      <w:r w:rsidRPr="00FF3528">
        <w:rPr>
          <w:rFonts w:cs="Arial"/>
          <w:szCs w:val="20"/>
        </w:rPr>
        <w:t xml:space="preserve"> (online); 202</w:t>
      </w:r>
      <w:r w:rsidR="000B50E7">
        <w:rPr>
          <w:rFonts w:cs="Arial"/>
          <w:szCs w:val="20"/>
        </w:rPr>
        <w:t>6</w:t>
      </w:r>
      <w:r w:rsidRPr="00FF3528">
        <w:rPr>
          <w:rFonts w:cs="Arial"/>
          <w:szCs w:val="20"/>
        </w:rPr>
        <w:t xml:space="preserve"> Clinical Drug Information, LLC.</w:t>
      </w:r>
      <w:bookmarkEnd w:id="1"/>
      <w:bookmarkEnd w:id="2"/>
      <w:bookmarkEnd w:id="3"/>
    </w:p>
    <w:p w14:paraId="63CA5ADC" w14:textId="77777777" w:rsidR="009053EA" w:rsidRDefault="009053EA" w:rsidP="009053EA"/>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69DCA" w14:textId="77777777" w:rsidR="004143AD" w:rsidRPr="00C02553" w:rsidRDefault="004143AD" w:rsidP="00AE77DB">
      <w:r w:rsidRPr="00C02553">
        <w:separator/>
      </w:r>
    </w:p>
  </w:endnote>
  <w:endnote w:type="continuationSeparator" w:id="0">
    <w:p w14:paraId="3414CE7C" w14:textId="77777777" w:rsidR="004143AD" w:rsidRPr="00C02553" w:rsidRDefault="004143AD" w:rsidP="00AE77DB">
      <w:r w:rsidRPr="00C02553">
        <w:continuationSeparator/>
      </w:r>
    </w:p>
  </w:endnote>
  <w:endnote w:type="continuationNotice" w:id="1">
    <w:p w14:paraId="0FB60888" w14:textId="77777777" w:rsidR="004143AD" w:rsidRPr="00C02553" w:rsidRDefault="004143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F61D7" w14:textId="77777777" w:rsidR="004143AD" w:rsidRPr="00C02553" w:rsidRDefault="004143AD" w:rsidP="00AE77DB">
      <w:r w:rsidRPr="00C02553">
        <w:separator/>
      </w:r>
    </w:p>
  </w:footnote>
  <w:footnote w:type="continuationSeparator" w:id="0">
    <w:p w14:paraId="6037E6DF" w14:textId="77777777" w:rsidR="004143AD" w:rsidRPr="00C02553" w:rsidRDefault="004143AD" w:rsidP="00AE77DB">
      <w:r w:rsidRPr="00C02553">
        <w:continuationSeparator/>
      </w:r>
    </w:p>
  </w:footnote>
  <w:footnote w:type="continuationNotice" w:id="1">
    <w:p w14:paraId="4788BB8B" w14:textId="77777777" w:rsidR="004143AD" w:rsidRPr="00C02553" w:rsidRDefault="004143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76051B">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76051B">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76051B">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14A5723"/>
    <w:multiLevelType w:val="hybridMultilevel"/>
    <w:tmpl w:val="FF2E1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EE6515"/>
    <w:multiLevelType w:val="hybridMultilevel"/>
    <w:tmpl w:val="691CE092"/>
    <w:lvl w:ilvl="0" w:tplc="04090001">
      <w:start w:val="1"/>
      <w:numFmt w:val="bullet"/>
      <w:lvlText w:val=""/>
      <w:lvlJc w:val="left"/>
      <w:pPr>
        <w:tabs>
          <w:tab w:val="num" w:pos="339"/>
        </w:tabs>
        <w:ind w:left="339" w:hanging="360"/>
      </w:pPr>
      <w:rPr>
        <w:rFonts w:ascii="Symbol" w:hAnsi="Symbol" w:hint="default"/>
      </w:rPr>
    </w:lvl>
    <w:lvl w:ilvl="1" w:tplc="04090019" w:tentative="1">
      <w:start w:val="1"/>
      <w:numFmt w:val="lowerLetter"/>
      <w:lvlText w:val="%2."/>
      <w:lvlJc w:val="left"/>
      <w:pPr>
        <w:tabs>
          <w:tab w:val="num" w:pos="1059"/>
        </w:tabs>
        <w:ind w:left="1059" w:hanging="360"/>
      </w:pPr>
    </w:lvl>
    <w:lvl w:ilvl="2" w:tplc="0409001B" w:tentative="1">
      <w:start w:val="1"/>
      <w:numFmt w:val="lowerRoman"/>
      <w:lvlText w:val="%3."/>
      <w:lvlJc w:val="right"/>
      <w:pPr>
        <w:tabs>
          <w:tab w:val="num" w:pos="1779"/>
        </w:tabs>
        <w:ind w:left="1779" w:hanging="180"/>
      </w:pPr>
    </w:lvl>
    <w:lvl w:ilvl="3" w:tplc="0409000F" w:tentative="1">
      <w:start w:val="1"/>
      <w:numFmt w:val="decimal"/>
      <w:lvlText w:val="%4."/>
      <w:lvlJc w:val="left"/>
      <w:pPr>
        <w:tabs>
          <w:tab w:val="num" w:pos="2499"/>
        </w:tabs>
        <w:ind w:left="2499" w:hanging="360"/>
      </w:pPr>
    </w:lvl>
    <w:lvl w:ilvl="4" w:tplc="04090019" w:tentative="1">
      <w:start w:val="1"/>
      <w:numFmt w:val="lowerLetter"/>
      <w:lvlText w:val="%5."/>
      <w:lvlJc w:val="left"/>
      <w:pPr>
        <w:tabs>
          <w:tab w:val="num" w:pos="3219"/>
        </w:tabs>
        <w:ind w:left="3219" w:hanging="360"/>
      </w:pPr>
    </w:lvl>
    <w:lvl w:ilvl="5" w:tplc="0409001B" w:tentative="1">
      <w:start w:val="1"/>
      <w:numFmt w:val="lowerRoman"/>
      <w:lvlText w:val="%6."/>
      <w:lvlJc w:val="right"/>
      <w:pPr>
        <w:tabs>
          <w:tab w:val="num" w:pos="3939"/>
        </w:tabs>
        <w:ind w:left="3939" w:hanging="180"/>
      </w:pPr>
    </w:lvl>
    <w:lvl w:ilvl="6" w:tplc="0409000F" w:tentative="1">
      <w:start w:val="1"/>
      <w:numFmt w:val="decimal"/>
      <w:lvlText w:val="%7."/>
      <w:lvlJc w:val="left"/>
      <w:pPr>
        <w:tabs>
          <w:tab w:val="num" w:pos="4659"/>
        </w:tabs>
        <w:ind w:left="4659" w:hanging="360"/>
      </w:pPr>
    </w:lvl>
    <w:lvl w:ilvl="7" w:tplc="04090019" w:tentative="1">
      <w:start w:val="1"/>
      <w:numFmt w:val="lowerLetter"/>
      <w:lvlText w:val="%8."/>
      <w:lvlJc w:val="left"/>
      <w:pPr>
        <w:tabs>
          <w:tab w:val="num" w:pos="5379"/>
        </w:tabs>
        <w:ind w:left="5379" w:hanging="360"/>
      </w:pPr>
    </w:lvl>
    <w:lvl w:ilvl="8" w:tplc="0409001B" w:tentative="1">
      <w:start w:val="1"/>
      <w:numFmt w:val="lowerRoman"/>
      <w:lvlText w:val="%9."/>
      <w:lvlJc w:val="right"/>
      <w:pPr>
        <w:tabs>
          <w:tab w:val="num" w:pos="6099"/>
        </w:tabs>
        <w:ind w:left="6099" w:hanging="180"/>
      </w:p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2"/>
  </w:num>
  <w:num w:numId="10" w16cid:durableId="917518096">
    <w:abstractNumId w:val="10"/>
  </w:num>
  <w:num w:numId="11" w16cid:durableId="1894998475">
    <w:abstractNumId w:val="1"/>
  </w:num>
  <w:num w:numId="12" w16cid:durableId="1418215296">
    <w:abstractNumId w:val="15"/>
  </w:num>
  <w:num w:numId="13" w16cid:durableId="604729665">
    <w:abstractNumId w:val="5"/>
  </w:num>
  <w:num w:numId="14" w16cid:durableId="1805081292">
    <w:abstractNumId w:val="13"/>
  </w:num>
  <w:num w:numId="15" w16cid:durableId="1911186802">
    <w:abstractNumId w:val="6"/>
  </w:num>
  <w:num w:numId="16" w16cid:durableId="1650402069">
    <w:abstractNumId w:val="8"/>
  </w:num>
  <w:num w:numId="17" w16cid:durableId="816727128">
    <w:abstractNumId w:val="14"/>
  </w:num>
  <w:num w:numId="18" w16cid:durableId="1760710007">
    <w:abstractNumId w:val="17"/>
  </w:num>
  <w:num w:numId="19" w16cid:durableId="1472945444">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HYYo+VQlSNO2bUrTBrWzJoz8kbpogmjzWZmgr7dVuztrmZ7tdLXVYgUVEAhzvr5wW+9JGj8f1i1j7gcCIEtlCw==" w:salt="Y89LrtDhrCnSVewTN17Vv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3266"/>
    <w:rsid w:val="000344C5"/>
    <w:rsid w:val="00040AD3"/>
    <w:rsid w:val="00053807"/>
    <w:rsid w:val="000544A1"/>
    <w:rsid w:val="000572E5"/>
    <w:rsid w:val="00061541"/>
    <w:rsid w:val="00064162"/>
    <w:rsid w:val="00065C22"/>
    <w:rsid w:val="00074464"/>
    <w:rsid w:val="00076030"/>
    <w:rsid w:val="00082590"/>
    <w:rsid w:val="000913C3"/>
    <w:rsid w:val="000953B9"/>
    <w:rsid w:val="000A2D17"/>
    <w:rsid w:val="000A413B"/>
    <w:rsid w:val="000A6279"/>
    <w:rsid w:val="000B496B"/>
    <w:rsid w:val="000B50E7"/>
    <w:rsid w:val="000C3940"/>
    <w:rsid w:val="000C5992"/>
    <w:rsid w:val="000C639F"/>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50CB"/>
    <w:rsid w:val="001A74B7"/>
    <w:rsid w:val="001B2D47"/>
    <w:rsid w:val="001B5F66"/>
    <w:rsid w:val="001C0250"/>
    <w:rsid w:val="001C6DA4"/>
    <w:rsid w:val="001C73B1"/>
    <w:rsid w:val="001D1E7D"/>
    <w:rsid w:val="001D4921"/>
    <w:rsid w:val="001D6567"/>
    <w:rsid w:val="001E2CCB"/>
    <w:rsid w:val="001E4CBA"/>
    <w:rsid w:val="001E523C"/>
    <w:rsid w:val="001E61DF"/>
    <w:rsid w:val="001F2B9F"/>
    <w:rsid w:val="001F3A35"/>
    <w:rsid w:val="001F5954"/>
    <w:rsid w:val="00202DD3"/>
    <w:rsid w:val="002051CF"/>
    <w:rsid w:val="00206E7D"/>
    <w:rsid w:val="002115AE"/>
    <w:rsid w:val="00217E14"/>
    <w:rsid w:val="00217EFD"/>
    <w:rsid w:val="00222134"/>
    <w:rsid w:val="0022233F"/>
    <w:rsid w:val="00226275"/>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227C"/>
    <w:rsid w:val="003F6981"/>
    <w:rsid w:val="004023CC"/>
    <w:rsid w:val="00407564"/>
    <w:rsid w:val="00411152"/>
    <w:rsid w:val="004143AD"/>
    <w:rsid w:val="0041508D"/>
    <w:rsid w:val="004156AA"/>
    <w:rsid w:val="004253A1"/>
    <w:rsid w:val="004313B6"/>
    <w:rsid w:val="00433339"/>
    <w:rsid w:val="00443332"/>
    <w:rsid w:val="00446BBC"/>
    <w:rsid w:val="004471BA"/>
    <w:rsid w:val="004472C0"/>
    <w:rsid w:val="00450705"/>
    <w:rsid w:val="00451928"/>
    <w:rsid w:val="00460B5D"/>
    <w:rsid w:val="0046618B"/>
    <w:rsid w:val="0048608C"/>
    <w:rsid w:val="00496E57"/>
    <w:rsid w:val="004B3E10"/>
    <w:rsid w:val="004C0F5D"/>
    <w:rsid w:val="004C375A"/>
    <w:rsid w:val="004C4954"/>
    <w:rsid w:val="004C5767"/>
    <w:rsid w:val="004D0080"/>
    <w:rsid w:val="004D141B"/>
    <w:rsid w:val="004D5322"/>
    <w:rsid w:val="004D78B0"/>
    <w:rsid w:val="004E094A"/>
    <w:rsid w:val="004E611F"/>
    <w:rsid w:val="004F2A79"/>
    <w:rsid w:val="004F4D37"/>
    <w:rsid w:val="00501A14"/>
    <w:rsid w:val="00501DE3"/>
    <w:rsid w:val="005058CB"/>
    <w:rsid w:val="0051044D"/>
    <w:rsid w:val="005139E4"/>
    <w:rsid w:val="00515075"/>
    <w:rsid w:val="00516D12"/>
    <w:rsid w:val="00520FE9"/>
    <w:rsid w:val="005233E7"/>
    <w:rsid w:val="00526C8D"/>
    <w:rsid w:val="005328B2"/>
    <w:rsid w:val="00535BD5"/>
    <w:rsid w:val="00540977"/>
    <w:rsid w:val="00551668"/>
    <w:rsid w:val="005572D5"/>
    <w:rsid w:val="00566BE4"/>
    <w:rsid w:val="00570D21"/>
    <w:rsid w:val="00576113"/>
    <w:rsid w:val="00590652"/>
    <w:rsid w:val="0059235F"/>
    <w:rsid w:val="00596936"/>
    <w:rsid w:val="00597B75"/>
    <w:rsid w:val="005A2F1E"/>
    <w:rsid w:val="005A4232"/>
    <w:rsid w:val="005C3616"/>
    <w:rsid w:val="005D36B2"/>
    <w:rsid w:val="005D52E7"/>
    <w:rsid w:val="005D78B5"/>
    <w:rsid w:val="005E3572"/>
    <w:rsid w:val="005E45E4"/>
    <w:rsid w:val="005F0A81"/>
    <w:rsid w:val="005F0FCF"/>
    <w:rsid w:val="005F6104"/>
    <w:rsid w:val="006000B4"/>
    <w:rsid w:val="0060042F"/>
    <w:rsid w:val="006008BC"/>
    <w:rsid w:val="00602CFD"/>
    <w:rsid w:val="00606B55"/>
    <w:rsid w:val="00612A7B"/>
    <w:rsid w:val="00616E5E"/>
    <w:rsid w:val="006173A4"/>
    <w:rsid w:val="006205AD"/>
    <w:rsid w:val="00625C3A"/>
    <w:rsid w:val="00635DDB"/>
    <w:rsid w:val="0064149A"/>
    <w:rsid w:val="00646DFE"/>
    <w:rsid w:val="00647A68"/>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C3AD8"/>
    <w:rsid w:val="006D2330"/>
    <w:rsid w:val="006E0F8B"/>
    <w:rsid w:val="006E12F7"/>
    <w:rsid w:val="006E29D7"/>
    <w:rsid w:val="007068A4"/>
    <w:rsid w:val="00706D67"/>
    <w:rsid w:val="00713052"/>
    <w:rsid w:val="00721367"/>
    <w:rsid w:val="007231FA"/>
    <w:rsid w:val="00732C67"/>
    <w:rsid w:val="00734418"/>
    <w:rsid w:val="00757826"/>
    <w:rsid w:val="0076051B"/>
    <w:rsid w:val="00762B13"/>
    <w:rsid w:val="007632B7"/>
    <w:rsid w:val="0076382F"/>
    <w:rsid w:val="00765768"/>
    <w:rsid w:val="00765D10"/>
    <w:rsid w:val="00766AC8"/>
    <w:rsid w:val="00767486"/>
    <w:rsid w:val="0077070E"/>
    <w:rsid w:val="0077296A"/>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E6A37"/>
    <w:rsid w:val="007F1774"/>
    <w:rsid w:val="007F593C"/>
    <w:rsid w:val="00811A70"/>
    <w:rsid w:val="0081406E"/>
    <w:rsid w:val="00832211"/>
    <w:rsid w:val="008325F4"/>
    <w:rsid w:val="00832AC8"/>
    <w:rsid w:val="00846FA4"/>
    <w:rsid w:val="008524BA"/>
    <w:rsid w:val="00852B74"/>
    <w:rsid w:val="00856928"/>
    <w:rsid w:val="00865538"/>
    <w:rsid w:val="00870875"/>
    <w:rsid w:val="0088225C"/>
    <w:rsid w:val="00882B20"/>
    <w:rsid w:val="00884026"/>
    <w:rsid w:val="00884C78"/>
    <w:rsid w:val="008859E1"/>
    <w:rsid w:val="00896264"/>
    <w:rsid w:val="00897949"/>
    <w:rsid w:val="008A2549"/>
    <w:rsid w:val="008A5D88"/>
    <w:rsid w:val="008B2851"/>
    <w:rsid w:val="008C000E"/>
    <w:rsid w:val="008D0F2F"/>
    <w:rsid w:val="008D237F"/>
    <w:rsid w:val="008D3FD8"/>
    <w:rsid w:val="008D6B05"/>
    <w:rsid w:val="008E7D2D"/>
    <w:rsid w:val="008F0E36"/>
    <w:rsid w:val="008F44C0"/>
    <w:rsid w:val="008F5999"/>
    <w:rsid w:val="00903AD6"/>
    <w:rsid w:val="00904D7A"/>
    <w:rsid w:val="009053EA"/>
    <w:rsid w:val="00915332"/>
    <w:rsid w:val="009204BB"/>
    <w:rsid w:val="009263AE"/>
    <w:rsid w:val="00935918"/>
    <w:rsid w:val="00935EC3"/>
    <w:rsid w:val="00951097"/>
    <w:rsid w:val="00953C1E"/>
    <w:rsid w:val="0096210F"/>
    <w:rsid w:val="00962633"/>
    <w:rsid w:val="00963187"/>
    <w:rsid w:val="00963ACF"/>
    <w:rsid w:val="00963D1C"/>
    <w:rsid w:val="00964284"/>
    <w:rsid w:val="0097028A"/>
    <w:rsid w:val="00973BD6"/>
    <w:rsid w:val="00975BB6"/>
    <w:rsid w:val="00984549"/>
    <w:rsid w:val="00985D28"/>
    <w:rsid w:val="00991BF0"/>
    <w:rsid w:val="00992EA3"/>
    <w:rsid w:val="00993FAD"/>
    <w:rsid w:val="009A0FB1"/>
    <w:rsid w:val="009A1FAC"/>
    <w:rsid w:val="009B001A"/>
    <w:rsid w:val="009B1A62"/>
    <w:rsid w:val="009C3CC7"/>
    <w:rsid w:val="009D2057"/>
    <w:rsid w:val="009D3D6C"/>
    <w:rsid w:val="009D5551"/>
    <w:rsid w:val="009D62DB"/>
    <w:rsid w:val="009E3B42"/>
    <w:rsid w:val="009F518A"/>
    <w:rsid w:val="00A02AF6"/>
    <w:rsid w:val="00A05B60"/>
    <w:rsid w:val="00A13266"/>
    <w:rsid w:val="00A14FA6"/>
    <w:rsid w:val="00A15D64"/>
    <w:rsid w:val="00A20575"/>
    <w:rsid w:val="00A32452"/>
    <w:rsid w:val="00A325CC"/>
    <w:rsid w:val="00A32BBF"/>
    <w:rsid w:val="00A37444"/>
    <w:rsid w:val="00A4281A"/>
    <w:rsid w:val="00A43A94"/>
    <w:rsid w:val="00A459CF"/>
    <w:rsid w:val="00A5014D"/>
    <w:rsid w:val="00A53E96"/>
    <w:rsid w:val="00A56F18"/>
    <w:rsid w:val="00A628F8"/>
    <w:rsid w:val="00A62BAA"/>
    <w:rsid w:val="00A66172"/>
    <w:rsid w:val="00A744C3"/>
    <w:rsid w:val="00A80896"/>
    <w:rsid w:val="00AA70AB"/>
    <w:rsid w:val="00AB0B9F"/>
    <w:rsid w:val="00AB1713"/>
    <w:rsid w:val="00AB63BE"/>
    <w:rsid w:val="00AC1EBC"/>
    <w:rsid w:val="00AC2599"/>
    <w:rsid w:val="00AC2DE9"/>
    <w:rsid w:val="00AC3CD9"/>
    <w:rsid w:val="00AD10BD"/>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91726"/>
    <w:rsid w:val="00BA1C17"/>
    <w:rsid w:val="00BA1D65"/>
    <w:rsid w:val="00BA6706"/>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1E91"/>
    <w:rsid w:val="00C62745"/>
    <w:rsid w:val="00C654CA"/>
    <w:rsid w:val="00C763BD"/>
    <w:rsid w:val="00C779A8"/>
    <w:rsid w:val="00C82E19"/>
    <w:rsid w:val="00C93812"/>
    <w:rsid w:val="00C96873"/>
    <w:rsid w:val="00CA1735"/>
    <w:rsid w:val="00CA207E"/>
    <w:rsid w:val="00CA3C4B"/>
    <w:rsid w:val="00CA7252"/>
    <w:rsid w:val="00CB2C5A"/>
    <w:rsid w:val="00CE0C1C"/>
    <w:rsid w:val="00CE34AF"/>
    <w:rsid w:val="00CE4A1B"/>
    <w:rsid w:val="00CF00A4"/>
    <w:rsid w:val="00CF25FB"/>
    <w:rsid w:val="00CF614C"/>
    <w:rsid w:val="00D02F34"/>
    <w:rsid w:val="00D12324"/>
    <w:rsid w:val="00D13D87"/>
    <w:rsid w:val="00D16590"/>
    <w:rsid w:val="00D20720"/>
    <w:rsid w:val="00D232D9"/>
    <w:rsid w:val="00D250D9"/>
    <w:rsid w:val="00D27533"/>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51CB"/>
    <w:rsid w:val="00DD4819"/>
    <w:rsid w:val="00DD4B8A"/>
    <w:rsid w:val="00DD5403"/>
    <w:rsid w:val="00DD5ED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B707A"/>
    <w:rsid w:val="00EC2738"/>
    <w:rsid w:val="00ED760F"/>
    <w:rsid w:val="00ED7B42"/>
    <w:rsid w:val="00EE3EA5"/>
    <w:rsid w:val="00EE613F"/>
    <w:rsid w:val="00EE6BD1"/>
    <w:rsid w:val="00EF0262"/>
    <w:rsid w:val="00EF0828"/>
    <w:rsid w:val="00EF6F8B"/>
    <w:rsid w:val="00F012CE"/>
    <w:rsid w:val="00F03898"/>
    <w:rsid w:val="00F1527A"/>
    <w:rsid w:val="00F2696B"/>
    <w:rsid w:val="00F27821"/>
    <w:rsid w:val="00F4092A"/>
    <w:rsid w:val="00F41F69"/>
    <w:rsid w:val="00F43E41"/>
    <w:rsid w:val="00F4790C"/>
    <w:rsid w:val="00F50C4B"/>
    <w:rsid w:val="00F54C08"/>
    <w:rsid w:val="00F5505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1203"/>
    <w:rsid w:val="00FD34EA"/>
    <w:rsid w:val="00FE3DF0"/>
    <w:rsid w:val="00FE3F3E"/>
    <w:rsid w:val="00FE4D52"/>
    <w:rsid w:val="00FE5AEE"/>
    <w:rsid w:val="00FF106B"/>
    <w:rsid w:val="00FF3528"/>
    <w:rsid w:val="15EB50BA"/>
    <w:rsid w:val="3EE5225B"/>
    <w:rsid w:val="4C90065C"/>
    <w:rsid w:val="57511CC9"/>
    <w:rsid w:val="5D8F8430"/>
    <w:rsid w:val="60B9B224"/>
    <w:rsid w:val="6B03DDA9"/>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1D4921"/>
    <w:rPr>
      <w:sz w:val="16"/>
      <w:szCs w:val="16"/>
    </w:rPr>
  </w:style>
  <w:style w:type="paragraph" w:styleId="CommentSubject">
    <w:name w:val="annotation subject"/>
    <w:basedOn w:val="CommentText"/>
    <w:next w:val="CommentText"/>
    <w:link w:val="CommentSubjectChar"/>
    <w:uiPriority w:val="99"/>
    <w:semiHidden/>
    <w:unhideWhenUsed/>
    <w:rsid w:val="001D4921"/>
    <w:rPr>
      <w:b/>
      <w:bCs/>
    </w:rPr>
  </w:style>
  <w:style w:type="character" w:customStyle="1" w:styleId="CommentTextChar">
    <w:name w:val="Comment Text Char"/>
    <w:basedOn w:val="DefaultParagraphFont"/>
    <w:link w:val="CommentText"/>
    <w:semiHidden/>
    <w:rsid w:val="001D4921"/>
    <w:rPr>
      <w:rFonts w:ascii="Arial" w:hAnsi="Arial"/>
    </w:rPr>
  </w:style>
  <w:style w:type="character" w:customStyle="1" w:styleId="CommentSubjectChar">
    <w:name w:val="Comment Subject Char"/>
    <w:basedOn w:val="CommentTextChar"/>
    <w:link w:val="CommentSubject"/>
    <w:uiPriority w:val="99"/>
    <w:semiHidden/>
    <w:rsid w:val="001D492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purl.org/dc/elements/1.1/"/>
    <ds:schemaRef ds:uri="http://www.w3.org/XML/1998/namespace"/>
    <ds:schemaRef ds:uri="http://purl.org/dc/dcmitype/"/>
    <ds:schemaRef ds:uri="http://schemas.openxmlformats.org/package/2006/metadata/core-properties"/>
    <ds:schemaRef ds:uri="http://schemas.microsoft.com/office/infopath/2007/PartnerControls"/>
    <ds:schemaRef ds:uri="f5eefb00-5952-4f7e-8cf8-96f81cfadd01"/>
    <ds:schemaRef ds:uri="http://schemas.microsoft.com/office/2006/documentManagement/types"/>
    <ds:schemaRef ds:uri="aba01ddc-ae9a-4c9e-819c-7140b4239cde"/>
    <ds:schemaRef ds:uri="http://schemas.microsoft.com/sharepoint/v3"/>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13E2ED6E-01C0-43B8-9633-5F50703A4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3088</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Keratoconjunctivitis Agents PDL Edit</vt:lpstr>
    </vt:vector>
  </TitlesOfParts>
  <Company>DSS</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Keratoconjunctivitis Agents PDL Edit</dc:title>
  <dc:subject/>
  <dc:creator>DMS</dc:creator>
  <cp:keywords/>
  <cp:lastModifiedBy>Herzing, Jamie</cp:lastModifiedBy>
  <cp:revision>41</cp:revision>
  <cp:lastPrinted>2018-10-31T18:17:00Z</cp:lastPrinted>
  <dcterms:created xsi:type="dcterms:W3CDTF">2025-11-19T15:39:00Z</dcterms:created>
  <dcterms:modified xsi:type="dcterms:W3CDTF">2026-10-09T20:26:00Z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f12dec54153b629ad36e8e6dcc2af9448ad8aecc50391d4bfa31edd90d27a33c</vt:lpwstr>
  </property>
</Properties>
</file>