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85941FB" w:rsidR="004C5767" w:rsidRPr="006560B3" w:rsidRDefault="004C5767" w:rsidP="00D27533">
      <w:pPr>
        <w:pStyle w:val="tbody"/>
        <w:rPr>
          <w:b w:val="0"/>
        </w:rPr>
      </w:pPr>
      <w:r w:rsidRPr="00C02553">
        <w:t>Drug/Drug Class:</w:t>
      </w:r>
      <w:r w:rsidR="006560B3">
        <w:rPr>
          <w:b w:val="0"/>
        </w:rPr>
        <w:t xml:space="preserve"> </w:t>
      </w:r>
      <w:r w:rsidR="00D218FC" w:rsidRPr="00D218FC">
        <w:rPr>
          <w:b w:val="0"/>
        </w:rPr>
        <w:t>Lambert-Eaton Myasthenic Syndrome (LEMS) Clinical Edit</w:t>
      </w:r>
    </w:p>
    <w:p w14:paraId="7AD7FFCE" w14:textId="52EEB204" w:rsidR="004C5767" w:rsidRPr="006560B3" w:rsidRDefault="004C5767" w:rsidP="00D27533">
      <w:pPr>
        <w:pStyle w:val="tbody"/>
        <w:rPr>
          <w:b w:val="0"/>
        </w:rPr>
      </w:pPr>
      <w:r w:rsidRPr="00C02553">
        <w:t>First Implementation Date:</w:t>
      </w:r>
      <w:r w:rsidR="006560B3">
        <w:rPr>
          <w:b w:val="0"/>
        </w:rPr>
        <w:t xml:space="preserve"> </w:t>
      </w:r>
      <w:r w:rsidR="009C68EC" w:rsidRPr="009C68EC">
        <w:rPr>
          <w:b w:val="0"/>
        </w:rPr>
        <w:t>January 30, 2020</w:t>
      </w:r>
    </w:p>
    <w:p w14:paraId="4B7D760D" w14:textId="40298B18" w:rsidR="004C5767" w:rsidRPr="00D232D9" w:rsidRDefault="00C701A3"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A3025B0" w:rsidR="004C5767" w:rsidRPr="00D27533" w:rsidRDefault="004C5767" w:rsidP="00D27533">
      <w:pPr>
        <w:pStyle w:val="tbody"/>
        <w:rPr>
          <w:b w:val="0"/>
          <w:bCs/>
          <w:spacing w:val="-3"/>
        </w:rPr>
      </w:pPr>
      <w:r w:rsidRPr="007773E8">
        <w:t xml:space="preserve">Criteria Status: </w:t>
      </w:r>
      <w:r w:rsidR="00915FEB" w:rsidRPr="009C68E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42CFA107" w:rsidR="00D47996" w:rsidRDefault="79EEA449" w:rsidP="00696E3A">
      <w:r>
        <w:t>Ensure appropriate utilization and control of</w:t>
      </w:r>
      <w:r w:rsidR="00D47996">
        <w:t xml:space="preserve"> </w:t>
      </w:r>
      <w:r w:rsidR="00351E4B" w:rsidRPr="00351E4B">
        <w:t xml:space="preserve">agents </w:t>
      </w:r>
      <w:r w:rsidR="00B578F9">
        <w:rPr>
          <w:rFonts w:cs="Arial"/>
          <w:spacing w:val="-3"/>
        </w:rPr>
        <w:t xml:space="preserve">for </w:t>
      </w:r>
      <w:r w:rsidR="00B578F9" w:rsidRPr="00F44906">
        <w:rPr>
          <w:rFonts w:cs="Arial"/>
          <w:spacing w:val="-3"/>
        </w:rPr>
        <w:t xml:space="preserve">Lambert-Eaton myasthenic syndrome (LEMS) </w:t>
      </w:r>
      <w:r w:rsidR="00B578F9" w:rsidRPr="002E2DD6">
        <w:rPr>
          <w:rFonts w:cs="Arial"/>
          <w:spacing w:val="-3"/>
        </w:rPr>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BA7045E" w14:textId="51CD0CAB" w:rsidR="000B5BDD" w:rsidRDefault="000B5BDD" w:rsidP="000B5BDD">
      <w:pPr>
        <w:pStyle w:val="Header"/>
        <w:rPr>
          <w:rFonts w:cs="Arial"/>
          <w:sz w:val="20"/>
        </w:rPr>
      </w:pPr>
      <w:r w:rsidRPr="00932A3B">
        <w:rPr>
          <w:rFonts w:cs="Arial"/>
          <w:spacing w:val="-3"/>
          <w:sz w:val="20"/>
        </w:rPr>
        <w:t>Lambert-Ea</w:t>
      </w:r>
      <w:r>
        <w:rPr>
          <w:rFonts w:cs="Arial"/>
          <w:spacing w:val="-3"/>
          <w:sz w:val="20"/>
        </w:rPr>
        <w:t>ton myasthenic syndrome (LEMS)</w:t>
      </w:r>
      <w:r w:rsidRPr="003C78A1">
        <w:rPr>
          <w:rFonts w:cs="Arial"/>
          <w:spacing w:val="-3"/>
          <w:sz w:val="20"/>
        </w:rPr>
        <w:t xml:space="preserve"> is a rare autoimmune disorder that affects the connection between nerves and muscles and causes weakness and other symptoms in affected patients. Current treatment strategies for LEMS include initial therapy to increase the amount of acetylcholine available at the post-synaptic membrane with agents such as pyridostigmine, amifampridine, and guanidine; since pyridostigmine is readily available and well-tolerated, it is usually the first step in therapy. Amifampridine is a broad spectrum potassium channel blocker; the exact mechanism in which it exerts its therapeutic effect in LEMS is unknown. </w:t>
      </w:r>
      <w:r w:rsidRPr="00932A3B">
        <w:rPr>
          <w:rFonts w:cs="Arial"/>
          <w:spacing w:val="-3"/>
          <w:sz w:val="20"/>
        </w:rPr>
        <w:t xml:space="preserve">On November 28, 2018, Firdapse </w:t>
      </w:r>
      <w:r>
        <w:rPr>
          <w:rFonts w:cs="Arial"/>
          <w:spacing w:val="-3"/>
          <w:sz w:val="20"/>
        </w:rPr>
        <w:t>(</w:t>
      </w:r>
      <w:r w:rsidRPr="00932A3B">
        <w:rPr>
          <w:rFonts w:cs="Arial"/>
          <w:spacing w:val="-3"/>
          <w:sz w:val="20"/>
        </w:rPr>
        <w:t xml:space="preserve">amifampridine) was FDA </w:t>
      </w:r>
      <w:r>
        <w:rPr>
          <w:rFonts w:cs="Arial"/>
          <w:spacing w:val="-3"/>
          <w:sz w:val="20"/>
        </w:rPr>
        <w:t>approved for the treatment of LEMS</w:t>
      </w:r>
      <w:r w:rsidRPr="00932A3B">
        <w:rPr>
          <w:rFonts w:cs="Arial"/>
          <w:spacing w:val="-3"/>
          <w:sz w:val="20"/>
        </w:rPr>
        <w:t xml:space="preserve"> in adults</w:t>
      </w:r>
      <w:r>
        <w:rPr>
          <w:rFonts w:cs="Arial"/>
          <w:spacing w:val="-3"/>
          <w:sz w:val="20"/>
        </w:rPr>
        <w:t>.</w:t>
      </w:r>
      <w:r w:rsidRPr="00932A3B">
        <w:rPr>
          <w:rFonts w:cs="Arial"/>
          <w:spacing w:val="-3"/>
          <w:sz w:val="20"/>
        </w:rPr>
        <w:t xml:space="preserve"> </w:t>
      </w:r>
      <w:r>
        <w:rPr>
          <w:rFonts w:cs="Arial"/>
          <w:spacing w:val="-3"/>
          <w:sz w:val="20"/>
        </w:rPr>
        <w:t xml:space="preserve"> It</w:t>
      </w:r>
      <w:r w:rsidRPr="003C78A1">
        <w:rPr>
          <w:rFonts w:cs="Arial"/>
          <w:spacing w:val="-3"/>
          <w:sz w:val="20"/>
        </w:rPr>
        <w:t xml:space="preserve"> was the first FDA-approved drug for treatment of LEMS in adults,</w:t>
      </w:r>
      <w:r w:rsidRPr="003C78A1">
        <w:rPr>
          <w:sz w:val="20"/>
        </w:rPr>
        <w:t xml:space="preserve"> </w:t>
      </w:r>
      <w:r w:rsidRPr="003C78A1">
        <w:rPr>
          <w:rFonts w:cs="Arial"/>
          <w:spacing w:val="-3"/>
          <w:sz w:val="20"/>
        </w:rPr>
        <w:t xml:space="preserve">which </w:t>
      </w:r>
      <w:r w:rsidR="00EF79B5" w:rsidRPr="003C78A1">
        <w:rPr>
          <w:rFonts w:cs="Arial"/>
          <w:spacing w:val="-3"/>
          <w:sz w:val="20"/>
        </w:rPr>
        <w:t>comprises</w:t>
      </w:r>
      <w:r w:rsidRPr="003C78A1">
        <w:rPr>
          <w:rFonts w:cs="Arial"/>
          <w:spacing w:val="-3"/>
          <w:sz w:val="20"/>
        </w:rPr>
        <w:t xml:space="preserve"> the majority of LEMS patients</w:t>
      </w:r>
      <w:r>
        <w:rPr>
          <w:rFonts w:cs="Arial"/>
          <w:spacing w:val="-3"/>
          <w:sz w:val="20"/>
        </w:rPr>
        <w:t>.</w:t>
      </w:r>
      <w:r>
        <w:rPr>
          <w:rFonts w:cs="Arial"/>
          <w:sz w:val="20"/>
        </w:rPr>
        <w:t xml:space="preserve"> </w:t>
      </w:r>
      <w:r w:rsidR="00EF79B5">
        <w:rPr>
          <w:rFonts w:cs="Arial"/>
          <w:sz w:val="20"/>
        </w:rPr>
        <w:t>Firdapse is also indicted for pediatric patients 6 years of age and older.</w:t>
      </w:r>
    </w:p>
    <w:p w14:paraId="715F5B38" w14:textId="77777777" w:rsidR="000B5BDD" w:rsidRDefault="000B5BDD" w:rsidP="000B5BDD">
      <w:pPr>
        <w:pStyle w:val="Header"/>
        <w:rPr>
          <w:rFonts w:cs="Arial"/>
          <w:sz w:val="20"/>
        </w:rPr>
      </w:pPr>
    </w:p>
    <w:p w14:paraId="6E51C725" w14:textId="723B61B6" w:rsidR="00351E4B" w:rsidRDefault="000B5BDD" w:rsidP="000B5BDD">
      <w:pPr>
        <w:rPr>
          <w:rFonts w:cs="Arial"/>
        </w:rPr>
      </w:pPr>
      <w:r w:rsidRPr="00A46BD3">
        <w:rPr>
          <w:rFonts w:cs="Arial"/>
        </w:rPr>
        <w:t xml:space="preserve">Due to </w:t>
      </w:r>
      <w:r>
        <w:rPr>
          <w:rFonts w:cs="Arial"/>
        </w:rPr>
        <w:t>high cost and specific approved indication, MO HealthNet will impose clinical criteria to ensure appropriate utilization of agents for LEMS Disease.</w:t>
      </w:r>
    </w:p>
    <w:p w14:paraId="231B3EE5" w14:textId="77777777" w:rsidR="000B5BDD" w:rsidRDefault="000B5BDD" w:rsidP="000B5BDD"/>
    <w:p w14:paraId="5B5260CF" w14:textId="408BA207" w:rsidR="003D4704" w:rsidRPr="00AD17B7" w:rsidRDefault="003D4704" w:rsidP="003D4704">
      <w:r>
        <w:rPr>
          <w:b/>
          <w:bCs/>
        </w:rPr>
        <w:t xml:space="preserve">Program-Specific Information: </w:t>
      </w:r>
      <w:r>
        <w:t>Dat</w:t>
      </w:r>
      <w:r w:rsidR="00ED760F">
        <w:t>e</w:t>
      </w:r>
      <w:r>
        <w:t xml:space="preserve"> Range FFS </w:t>
      </w:r>
      <w:r w:rsidR="004F7FEA">
        <w:t>7</w:t>
      </w:r>
      <w:r>
        <w:t>-1-202</w:t>
      </w:r>
      <w:r w:rsidR="00C701A3">
        <w:t>5</w:t>
      </w:r>
      <w:r>
        <w:t xml:space="preserve"> to </w:t>
      </w:r>
      <w:r w:rsidR="004F7FEA">
        <w:t>6</w:t>
      </w:r>
      <w:r>
        <w:t>-30-202</w:t>
      </w:r>
      <w:r w:rsidR="00C701A3">
        <w:t>6</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6"/>
        <w:gridCol w:w="1329"/>
        <w:gridCol w:w="2279"/>
        <w:gridCol w:w="1715"/>
      </w:tblGrid>
      <w:tr w:rsidR="000B5BDD" w:rsidRPr="00902CF9" w14:paraId="7E639B47" w14:textId="11AFAB32" w:rsidTr="000B5BDD">
        <w:trPr>
          <w:trHeight w:val="232"/>
          <w:jc w:val="center"/>
        </w:trPr>
        <w:tc>
          <w:tcPr>
            <w:tcW w:w="3506" w:type="dxa"/>
            <w:shd w:val="clear" w:color="auto" w:fill="FABF8F" w:themeFill="accent6" w:themeFillTint="99"/>
            <w:vAlign w:val="center"/>
          </w:tcPr>
          <w:p w14:paraId="0258BA66" w14:textId="08D081F4" w:rsidR="000B5BDD" w:rsidRPr="00902CF9" w:rsidRDefault="000B5BDD" w:rsidP="00C064B9">
            <w:pPr>
              <w:jc w:val="center"/>
              <w:rPr>
                <w:rFonts w:cs="Arial"/>
                <w:b/>
                <w:bCs/>
                <w:spacing w:val="-3"/>
                <w:szCs w:val="20"/>
              </w:rPr>
            </w:pPr>
            <w:r w:rsidRPr="0068388E">
              <w:rPr>
                <w:rFonts w:cs="Arial"/>
                <w:b/>
                <w:bCs/>
                <w:spacing w:val="-3"/>
                <w:szCs w:val="20"/>
              </w:rPr>
              <w:t>Drug</w:t>
            </w:r>
          </w:p>
        </w:tc>
        <w:tc>
          <w:tcPr>
            <w:tcW w:w="1329" w:type="dxa"/>
            <w:shd w:val="clear" w:color="auto" w:fill="FABF8F" w:themeFill="accent6" w:themeFillTint="99"/>
            <w:vAlign w:val="center"/>
          </w:tcPr>
          <w:p w14:paraId="37F54882" w14:textId="525A1C86" w:rsidR="000B5BDD" w:rsidRPr="00902CF9" w:rsidRDefault="000B5BDD"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0B5BDD" w:rsidRPr="00902CF9" w:rsidRDefault="000B5BDD"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0B5BDD" w:rsidRPr="00902CF9" w:rsidRDefault="000B5BDD" w:rsidP="00F1448E">
            <w:pPr>
              <w:jc w:val="center"/>
            </w:pPr>
            <w:r w:rsidRPr="0068388E">
              <w:rPr>
                <w:rFonts w:cs="Arial"/>
                <w:b/>
                <w:spacing w:val="-3"/>
                <w:szCs w:val="20"/>
              </w:rPr>
              <w:t>Average Spend per Claim</w:t>
            </w:r>
          </w:p>
        </w:tc>
      </w:tr>
      <w:tr w:rsidR="00766D33" w:rsidRPr="00902CF9" w14:paraId="29C2C6B5" w14:textId="3BDCEDEA" w:rsidTr="00DF0F99">
        <w:trPr>
          <w:trHeight w:val="232"/>
          <w:jc w:val="center"/>
        </w:trPr>
        <w:tc>
          <w:tcPr>
            <w:tcW w:w="3506" w:type="dxa"/>
            <w:vAlign w:val="bottom"/>
          </w:tcPr>
          <w:p w14:paraId="4E48F17F" w14:textId="0BC99AAA" w:rsidR="00766D33" w:rsidRPr="00902CF9" w:rsidRDefault="00766D33" w:rsidP="00766D33">
            <w:pPr>
              <w:rPr>
                <w:rFonts w:cs="Arial"/>
                <w:szCs w:val="20"/>
              </w:rPr>
            </w:pPr>
            <w:r>
              <w:rPr>
                <w:rFonts w:cs="Arial"/>
                <w:szCs w:val="20"/>
              </w:rPr>
              <w:t>FIRDAPSE 10 MG TABLET</w:t>
            </w:r>
          </w:p>
        </w:tc>
        <w:tc>
          <w:tcPr>
            <w:tcW w:w="1329" w:type="dxa"/>
            <w:vAlign w:val="center"/>
          </w:tcPr>
          <w:p w14:paraId="52453425" w14:textId="1ED2272A" w:rsidR="00766D33" w:rsidRPr="00902CF9" w:rsidRDefault="00766D33" w:rsidP="00766D33">
            <w:pPr>
              <w:jc w:val="center"/>
              <w:rPr>
                <w:rFonts w:cs="Arial"/>
                <w:szCs w:val="20"/>
              </w:rPr>
            </w:pPr>
            <w:r>
              <w:rPr>
                <w:rFonts w:cs="Arial"/>
                <w:szCs w:val="20"/>
              </w:rPr>
              <w:t>5</w:t>
            </w:r>
          </w:p>
        </w:tc>
        <w:tc>
          <w:tcPr>
            <w:tcW w:w="2279" w:type="dxa"/>
            <w:vAlign w:val="center"/>
          </w:tcPr>
          <w:p w14:paraId="43EE586B" w14:textId="36919755" w:rsidR="00766D33" w:rsidRPr="00902CF9" w:rsidRDefault="00766D33" w:rsidP="00766D33">
            <w:pPr>
              <w:jc w:val="center"/>
              <w:rPr>
                <w:rFonts w:cs="Arial"/>
                <w:szCs w:val="20"/>
              </w:rPr>
            </w:pPr>
            <w:r>
              <w:rPr>
                <w:rFonts w:cs="Arial"/>
                <w:szCs w:val="20"/>
              </w:rPr>
              <w:t>$190,143.26</w:t>
            </w:r>
          </w:p>
        </w:tc>
        <w:tc>
          <w:tcPr>
            <w:tcW w:w="1715" w:type="dxa"/>
            <w:vAlign w:val="center"/>
          </w:tcPr>
          <w:p w14:paraId="259FFA2F" w14:textId="399A1E86" w:rsidR="00766D33" w:rsidRPr="00902CF9" w:rsidRDefault="00766D33" w:rsidP="00766D33">
            <w:pPr>
              <w:jc w:val="center"/>
            </w:pPr>
            <w:r>
              <w:rPr>
                <w:rFonts w:cs="Arial"/>
                <w:szCs w:val="20"/>
              </w:rPr>
              <w:t>$38,028.65</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F2B322C" w:rsidR="0097028A" w:rsidRPr="0079438F" w:rsidRDefault="0097028A" w:rsidP="00696E3A">
      <w:pPr>
        <w:rPr>
          <w:b/>
        </w:rPr>
      </w:pPr>
      <w:r w:rsidRPr="00696E3A">
        <w:rPr>
          <w:b/>
          <w:bCs/>
        </w:rPr>
        <w:t>Drug class for review:</w:t>
      </w:r>
      <w:r w:rsidRPr="00C02553">
        <w:t xml:space="preserve"> </w:t>
      </w:r>
      <w:r w:rsidR="002600FE">
        <w:rPr>
          <w:rFonts w:cs="Arial"/>
        </w:rPr>
        <w:t xml:space="preserve">agents for the treatment of </w:t>
      </w:r>
      <w:r w:rsidR="002600FE" w:rsidRPr="003C78A1">
        <w:rPr>
          <w:rFonts w:cs="Arial"/>
        </w:rPr>
        <w:t>Lambert-Eaton myasthenic syndrome (LEMS)</w:t>
      </w:r>
    </w:p>
    <w:p w14:paraId="26CFE8A0" w14:textId="2592B18E"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3F1D70">
        <w:rPr>
          <w:rFonts w:cs="Arial"/>
        </w:rPr>
        <w:t xml:space="preserve"> </w:t>
      </w:r>
      <w:r w:rsidR="003F1D70" w:rsidRPr="003F1D70">
        <w:rPr>
          <w:rFonts w:cs="Arial"/>
        </w:rPr>
        <w:t>aged 6 years 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004B5061" w14:textId="77777777" w:rsidR="00B671A7" w:rsidRDefault="00B671A7" w:rsidP="00B671A7">
      <w:pPr>
        <w:pStyle w:val="ListParagraph"/>
        <w:numPr>
          <w:ilvl w:val="0"/>
          <w:numId w:val="22"/>
        </w:numPr>
        <w:ind w:left="360"/>
        <w:rPr>
          <w:rFonts w:cs="Arial"/>
          <w:szCs w:val="20"/>
        </w:rPr>
      </w:pPr>
      <w:r w:rsidRPr="002D6228">
        <w:rPr>
          <w:rFonts w:cs="Arial"/>
          <w:szCs w:val="20"/>
        </w:rPr>
        <w:t>Must meet all of the following:</w:t>
      </w:r>
    </w:p>
    <w:p w14:paraId="64574CA3" w14:textId="77777777" w:rsidR="00B671A7" w:rsidRPr="00AA7362" w:rsidRDefault="00B671A7" w:rsidP="00B671A7">
      <w:pPr>
        <w:pStyle w:val="ListParagraph"/>
        <w:numPr>
          <w:ilvl w:val="1"/>
          <w:numId w:val="22"/>
        </w:numPr>
        <w:ind w:left="720"/>
        <w:rPr>
          <w:rFonts w:cs="Arial"/>
          <w:szCs w:val="20"/>
        </w:rPr>
      </w:pPr>
      <w:r w:rsidRPr="002D6228">
        <w:rPr>
          <w:rFonts w:cs="Arial"/>
          <w:szCs w:val="20"/>
        </w:rPr>
        <w:t xml:space="preserve">Participant aged </w:t>
      </w:r>
      <w:r w:rsidRPr="002D6228">
        <w:rPr>
          <w:rFonts w:cs="Arial"/>
          <w:bCs/>
          <w:szCs w:val="20"/>
        </w:rPr>
        <w:t>6</w:t>
      </w:r>
      <w:r w:rsidRPr="002D6228">
        <w:rPr>
          <w:rFonts w:cs="Arial"/>
          <w:szCs w:val="20"/>
        </w:rPr>
        <w:t xml:space="preserve"> years or older</w:t>
      </w:r>
      <w:r>
        <w:rPr>
          <w:rFonts w:cs="Arial"/>
          <w:szCs w:val="20"/>
        </w:rPr>
        <w:t>;</w:t>
      </w:r>
    </w:p>
    <w:p w14:paraId="0423FA49" w14:textId="77777777" w:rsidR="00B671A7" w:rsidRDefault="00B671A7" w:rsidP="00B671A7">
      <w:pPr>
        <w:pStyle w:val="ListParagraph"/>
        <w:numPr>
          <w:ilvl w:val="1"/>
          <w:numId w:val="22"/>
        </w:numPr>
        <w:ind w:left="720"/>
        <w:rPr>
          <w:rFonts w:cs="Arial"/>
          <w:szCs w:val="20"/>
        </w:rPr>
      </w:pPr>
      <w:r w:rsidRPr="00AA7362">
        <w:rPr>
          <w:rFonts w:cs="Arial"/>
          <w:szCs w:val="20"/>
        </w:rPr>
        <w:t>Diagnosis of LEMS consistent with 1 of the following:</w:t>
      </w:r>
    </w:p>
    <w:p w14:paraId="7345880D" w14:textId="77777777" w:rsidR="00B671A7" w:rsidRPr="00AA7362" w:rsidRDefault="00B671A7" w:rsidP="00B671A7">
      <w:pPr>
        <w:pStyle w:val="ListParagraph"/>
        <w:numPr>
          <w:ilvl w:val="2"/>
          <w:numId w:val="22"/>
        </w:numPr>
        <w:ind w:left="1080"/>
        <w:rPr>
          <w:rFonts w:cs="Arial"/>
          <w:szCs w:val="20"/>
        </w:rPr>
      </w:pPr>
      <w:r w:rsidRPr="00AA7362">
        <w:rPr>
          <w:rFonts w:cs="Arial"/>
          <w:szCs w:val="20"/>
        </w:rPr>
        <w:t>Repetitive Nerve Stimulation (RNS) showing reproducible post-exercise increase in compound muscle action potential (CMAP) amplitude of at least 60% compared with pre-exercise baseline value or a similar increment on high-frequency repetitive nerve stimulation without exercise</w:t>
      </w:r>
      <w:r>
        <w:rPr>
          <w:rFonts w:cs="Arial"/>
          <w:szCs w:val="20"/>
        </w:rPr>
        <w:t>;</w:t>
      </w:r>
      <w:r w:rsidRPr="00AA7362">
        <w:rPr>
          <w:rFonts w:cs="Arial"/>
          <w:szCs w:val="20"/>
        </w:rPr>
        <w:t xml:space="preserve"> </w:t>
      </w:r>
      <w:r w:rsidRPr="00AA7362">
        <w:rPr>
          <w:rFonts w:cs="Arial"/>
          <w:b/>
          <w:szCs w:val="20"/>
        </w:rPr>
        <w:t>OR</w:t>
      </w:r>
    </w:p>
    <w:p w14:paraId="4D814A24" w14:textId="77777777" w:rsidR="00B671A7" w:rsidRDefault="00B671A7" w:rsidP="00B671A7">
      <w:pPr>
        <w:pStyle w:val="ListParagraph"/>
        <w:numPr>
          <w:ilvl w:val="2"/>
          <w:numId w:val="22"/>
        </w:numPr>
        <w:ind w:left="1080"/>
        <w:rPr>
          <w:rFonts w:cs="Arial"/>
          <w:szCs w:val="20"/>
        </w:rPr>
      </w:pPr>
      <w:r w:rsidRPr="00AA7362">
        <w:rPr>
          <w:rFonts w:cs="Arial"/>
          <w:szCs w:val="20"/>
        </w:rPr>
        <w:t>Positive anti-P/Q type voltage-gated calcium channel antibody test</w:t>
      </w:r>
      <w:r>
        <w:rPr>
          <w:rFonts w:cs="Arial"/>
          <w:szCs w:val="20"/>
        </w:rPr>
        <w:t>;</w:t>
      </w:r>
    </w:p>
    <w:p w14:paraId="740624D0" w14:textId="77777777" w:rsidR="00B671A7" w:rsidRPr="00AA7362" w:rsidRDefault="00B671A7" w:rsidP="00B671A7">
      <w:pPr>
        <w:pStyle w:val="ListParagraph"/>
        <w:numPr>
          <w:ilvl w:val="1"/>
          <w:numId w:val="22"/>
        </w:numPr>
        <w:ind w:left="720"/>
        <w:rPr>
          <w:rFonts w:cs="Arial"/>
          <w:szCs w:val="20"/>
        </w:rPr>
      </w:pPr>
      <w:r w:rsidRPr="00AA7362">
        <w:rPr>
          <w:rFonts w:cs="Arial"/>
          <w:szCs w:val="20"/>
        </w:rPr>
        <w:lastRenderedPageBreak/>
        <w:t>Documentation of clinical symptoms suggestive of LEMS (proximal weakness affecting legs, eyes, face, throat)</w:t>
      </w:r>
      <w:r>
        <w:rPr>
          <w:rFonts w:cs="Arial"/>
          <w:szCs w:val="20"/>
        </w:rPr>
        <w:t>;</w:t>
      </w:r>
    </w:p>
    <w:p w14:paraId="2ABF2252" w14:textId="77777777" w:rsidR="00B671A7" w:rsidRPr="00060BD1" w:rsidRDefault="00B671A7" w:rsidP="00B671A7">
      <w:pPr>
        <w:pStyle w:val="ListParagraph"/>
        <w:numPr>
          <w:ilvl w:val="1"/>
          <w:numId w:val="21"/>
        </w:numPr>
        <w:ind w:left="720"/>
        <w:rPr>
          <w:rFonts w:cs="Arial"/>
          <w:szCs w:val="20"/>
        </w:rPr>
      </w:pPr>
      <w:r w:rsidRPr="00060BD1">
        <w:rPr>
          <w:rFonts w:cs="Arial"/>
          <w:szCs w:val="20"/>
        </w:rPr>
        <w:t>Documented trial of pyridostigmine defined as 15 days of therapy in the past 30 days</w:t>
      </w:r>
      <w:r>
        <w:rPr>
          <w:rFonts w:cs="Arial"/>
          <w:szCs w:val="20"/>
        </w:rPr>
        <w:t>;</w:t>
      </w:r>
      <w:r w:rsidRPr="00060BD1">
        <w:rPr>
          <w:rFonts w:cs="Arial"/>
          <w:szCs w:val="20"/>
        </w:rPr>
        <w:t xml:space="preserve"> </w:t>
      </w:r>
      <w:r w:rsidRPr="00060BD1">
        <w:rPr>
          <w:rFonts w:cs="Arial"/>
          <w:b/>
          <w:szCs w:val="20"/>
        </w:rPr>
        <w:t>AND</w:t>
      </w:r>
    </w:p>
    <w:p w14:paraId="019466DB" w14:textId="77777777" w:rsidR="00B671A7" w:rsidRDefault="00B671A7" w:rsidP="00B671A7">
      <w:pPr>
        <w:pStyle w:val="ListParagraph"/>
        <w:numPr>
          <w:ilvl w:val="1"/>
          <w:numId w:val="21"/>
        </w:numPr>
        <w:ind w:left="720"/>
        <w:rPr>
          <w:rFonts w:cs="Arial"/>
          <w:szCs w:val="20"/>
        </w:rPr>
      </w:pPr>
      <w:r w:rsidRPr="00060BD1">
        <w:rPr>
          <w:rFonts w:cs="Arial"/>
          <w:szCs w:val="20"/>
        </w:rPr>
        <w:t>Documentation of N-acetyltransferase 2 (NAT2) testing prior to initiation of therapy for dose determination</w:t>
      </w:r>
      <w:r>
        <w:rPr>
          <w:rFonts w:cs="Arial"/>
          <w:szCs w:val="20"/>
        </w:rPr>
        <w:t>.</w:t>
      </w:r>
    </w:p>
    <w:p w14:paraId="353A827A" w14:textId="77777777" w:rsidR="00B671A7" w:rsidRDefault="00B671A7" w:rsidP="00B671A7">
      <w:pPr>
        <w:pStyle w:val="ListParagraph"/>
        <w:numPr>
          <w:ilvl w:val="0"/>
          <w:numId w:val="21"/>
        </w:numPr>
        <w:rPr>
          <w:rFonts w:cs="Arial"/>
          <w:szCs w:val="20"/>
        </w:rPr>
      </w:pPr>
      <w:r>
        <w:rPr>
          <w:rFonts w:cs="Arial"/>
          <w:szCs w:val="20"/>
        </w:rPr>
        <w:t>Initial approval period: 3 months.</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0858663B" w14:textId="77777777" w:rsidR="001A2455" w:rsidRPr="005461F1" w:rsidRDefault="001A2455" w:rsidP="001A2455">
      <w:pPr>
        <w:pStyle w:val="ListParagraph"/>
        <w:numPr>
          <w:ilvl w:val="0"/>
          <w:numId w:val="21"/>
        </w:numPr>
        <w:rPr>
          <w:rFonts w:cs="Arial"/>
          <w:bCs/>
          <w:szCs w:val="20"/>
        </w:rPr>
      </w:pPr>
      <w:r w:rsidRPr="005461F1">
        <w:rPr>
          <w:rFonts w:cs="Arial"/>
          <w:bCs/>
          <w:szCs w:val="20"/>
        </w:rPr>
        <w:t>Renewal of prior authorization may be given following documentation of the following:</w:t>
      </w:r>
    </w:p>
    <w:p w14:paraId="42568E92" w14:textId="77777777" w:rsidR="001A2455" w:rsidRDefault="001A2455" w:rsidP="001A2455">
      <w:pPr>
        <w:pStyle w:val="ListParagraph"/>
        <w:numPr>
          <w:ilvl w:val="1"/>
          <w:numId w:val="21"/>
        </w:numPr>
        <w:ind w:left="720"/>
        <w:rPr>
          <w:rFonts w:cs="Arial"/>
          <w:bCs/>
          <w:szCs w:val="20"/>
        </w:rPr>
      </w:pPr>
      <w:r w:rsidRPr="00060BD1">
        <w:rPr>
          <w:rFonts w:cs="Arial"/>
          <w:bCs/>
          <w:szCs w:val="20"/>
        </w:rPr>
        <w:t>Documentation of clinical benefit of therapy (less than expected decline in functional ability and/or symptoms of disease)</w:t>
      </w:r>
      <w:r>
        <w:rPr>
          <w:rFonts w:cs="Arial"/>
          <w:bCs/>
          <w:szCs w:val="20"/>
        </w:rPr>
        <w:t>.</w:t>
      </w:r>
    </w:p>
    <w:p w14:paraId="0DA8462B" w14:textId="77777777" w:rsidR="001A2455" w:rsidRDefault="001A2455" w:rsidP="001A2455">
      <w:pPr>
        <w:pStyle w:val="ListParagraph"/>
        <w:numPr>
          <w:ilvl w:val="0"/>
          <w:numId w:val="21"/>
        </w:numPr>
        <w:rPr>
          <w:rFonts w:cs="Arial"/>
          <w:bCs/>
          <w:szCs w:val="20"/>
        </w:rPr>
      </w:pPr>
      <w:r>
        <w:rPr>
          <w:rFonts w:cs="Arial"/>
          <w:bCs/>
          <w:szCs w:val="20"/>
        </w:rPr>
        <w:t>Continuation approval period: 12 months.</w:t>
      </w:r>
    </w:p>
    <w:p w14:paraId="4C8E11A5" w14:textId="77777777" w:rsidR="001A2455" w:rsidRPr="00060BD1" w:rsidRDefault="001A2455" w:rsidP="001A2455">
      <w:pPr>
        <w:pStyle w:val="ListParagraph"/>
        <w:numPr>
          <w:ilvl w:val="0"/>
          <w:numId w:val="0"/>
        </w:numPr>
        <w:ind w:left="360"/>
        <w:rPr>
          <w:rFonts w:cs="Arial"/>
          <w:bCs/>
          <w:szCs w:val="20"/>
        </w:rPr>
      </w:pPr>
    </w:p>
    <w:p w14:paraId="6413C03A" w14:textId="4F6ABF5B" w:rsidR="00AE77DB" w:rsidRPr="00C02553" w:rsidRDefault="00AE77DB" w:rsidP="005A2F1E">
      <w:pPr>
        <w:pStyle w:val="Heading1"/>
        <w:rPr>
          <w:lang w:val="en-US"/>
        </w:rPr>
      </w:pPr>
      <w:r w:rsidRPr="00C02553">
        <w:rPr>
          <w:lang w:val="en-US"/>
        </w:rPr>
        <w:t>Denial Criteria</w:t>
      </w:r>
    </w:p>
    <w:p w14:paraId="26854B9E" w14:textId="77777777" w:rsidR="00E74CD4" w:rsidRDefault="00E74CD4" w:rsidP="00E74CD4">
      <w:pPr>
        <w:pStyle w:val="ListParagraph"/>
        <w:numPr>
          <w:ilvl w:val="0"/>
          <w:numId w:val="23"/>
        </w:numPr>
        <w:rPr>
          <w:rFonts w:cs="Arial"/>
          <w:noProof/>
          <w:szCs w:val="20"/>
        </w:rPr>
      </w:pPr>
      <w:bookmarkStart w:id="1" w:name="_Hlk47597237"/>
      <w:r>
        <w:rPr>
          <w:rFonts w:cs="Arial"/>
          <w:noProof/>
          <w:szCs w:val="20"/>
        </w:rPr>
        <w:t>Therapy will deny with presence of one of the following:</w:t>
      </w:r>
    </w:p>
    <w:p w14:paraId="62B2BCB9" w14:textId="77777777" w:rsidR="00E74CD4" w:rsidRPr="00DB083D" w:rsidRDefault="00E74CD4" w:rsidP="00E74CD4">
      <w:pPr>
        <w:pStyle w:val="ListParagraph"/>
        <w:numPr>
          <w:ilvl w:val="1"/>
          <w:numId w:val="23"/>
        </w:numPr>
        <w:ind w:left="720"/>
        <w:rPr>
          <w:rFonts w:cs="Arial"/>
          <w:noProof/>
          <w:szCs w:val="20"/>
        </w:rPr>
      </w:pPr>
      <w:r>
        <w:rPr>
          <w:rFonts w:cs="Arial"/>
          <w:noProof/>
          <w:szCs w:val="20"/>
        </w:rPr>
        <w:t xml:space="preserve">Any approval criteria are not met; </w:t>
      </w:r>
      <w:r w:rsidRPr="00485B8F">
        <w:rPr>
          <w:rFonts w:cs="Arial"/>
          <w:b/>
          <w:bCs/>
          <w:noProof/>
          <w:szCs w:val="20"/>
        </w:rPr>
        <w:t>OR</w:t>
      </w:r>
    </w:p>
    <w:bookmarkEnd w:id="1"/>
    <w:p w14:paraId="7DFEDFC1" w14:textId="77777777" w:rsidR="00E74CD4" w:rsidRPr="009137F7" w:rsidRDefault="00E74CD4" w:rsidP="00E74CD4">
      <w:pPr>
        <w:pStyle w:val="ListParagraph"/>
        <w:numPr>
          <w:ilvl w:val="1"/>
          <w:numId w:val="23"/>
        </w:numPr>
        <w:ind w:left="720"/>
        <w:rPr>
          <w:rFonts w:cs="Arial"/>
          <w:noProof/>
          <w:szCs w:val="20"/>
        </w:rPr>
      </w:pPr>
      <w:r>
        <w:rPr>
          <w:rFonts w:cs="Arial"/>
          <w:noProof/>
          <w:szCs w:val="20"/>
        </w:rPr>
        <w:t>Documented history of a seizure disorder.</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370B0B09" w14:textId="77777777" w:rsidR="00726360" w:rsidRPr="009137F7" w:rsidRDefault="00343D6B" w:rsidP="00726360">
      <w:pPr>
        <w:rPr>
          <w:rFonts w:cs="Arial"/>
          <w:szCs w:val="20"/>
        </w:rPr>
      </w:pPr>
      <w:r w:rsidRPr="00696E3A">
        <w:rPr>
          <w:b/>
          <w:bCs/>
        </w:rPr>
        <w:t>Default Approval Period:</w:t>
      </w:r>
      <w:r w:rsidR="00973BD6">
        <w:t xml:space="preserve"> </w:t>
      </w:r>
      <w:r w:rsidR="00726360">
        <w:rPr>
          <w:rFonts w:cs="Arial"/>
          <w:szCs w:val="20"/>
        </w:rPr>
        <w:t>3 months</w:t>
      </w:r>
      <w:r w:rsidR="00726360" w:rsidRPr="009137F7">
        <w:rPr>
          <w:rFonts w:cs="Arial"/>
          <w:szCs w:val="20"/>
        </w:rPr>
        <w:t xml:space="preserve"> </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1FFBE1F4" w14:textId="525FB5AB"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caps/>
          <w:szCs w:val="20"/>
        </w:rPr>
        <w:t>Firdapse</w:t>
      </w:r>
      <w:r w:rsidRPr="00165E99">
        <w:rPr>
          <w:rFonts w:cs="Arial"/>
          <w:szCs w:val="20"/>
        </w:rPr>
        <w:t xml:space="preserve"> (amifampridine) [package insert]. Coral Gables, FL: Catalyst Ph</w:t>
      </w:r>
      <w:r>
        <w:rPr>
          <w:rFonts w:cs="Arial"/>
          <w:szCs w:val="20"/>
        </w:rPr>
        <w:t>armaceuticals, Inc; May 2024.</w:t>
      </w:r>
    </w:p>
    <w:p w14:paraId="1D180756" w14:textId="77777777"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szCs w:val="20"/>
        </w:rPr>
        <w:t xml:space="preserve">Muscular Dystrophy Association.  Lambert-Eaton Myasthenic Syndrome (LEMS). </w:t>
      </w:r>
      <w:hyperlink r:id="rId11" w:tooltip="Link to www.mda.org Lambert Eaton Myasthenic Syndrome" w:history="1">
        <w:r w:rsidRPr="00165E99">
          <w:rPr>
            <w:rStyle w:val="Hyperlink"/>
            <w:rFonts w:cs="Arial"/>
            <w:szCs w:val="20"/>
          </w:rPr>
          <w:t>https://www.mda.org/disease/lambert-eaton-myasthenic-syndrome</w:t>
        </w:r>
      </w:hyperlink>
      <w:r w:rsidRPr="00165E99">
        <w:rPr>
          <w:rFonts w:cs="Arial"/>
          <w:szCs w:val="20"/>
        </w:rPr>
        <w:t xml:space="preserve">.  Accessed </w:t>
      </w:r>
      <w:r>
        <w:rPr>
          <w:rFonts w:cs="Arial"/>
          <w:szCs w:val="20"/>
        </w:rPr>
        <w:t>August 21, 2024.</w:t>
      </w:r>
    </w:p>
    <w:p w14:paraId="3DDE42D6" w14:textId="77777777"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szCs w:val="20"/>
        </w:rPr>
        <w:t>IPD Analytics.  New Drug Approval: Firdapse (amifampridine).  December 2018.</w:t>
      </w:r>
    </w:p>
    <w:p w14:paraId="3FA1E7DB" w14:textId="65B9DD8F" w:rsidR="00777CA4" w:rsidRPr="0084647F" w:rsidRDefault="0084647F" w:rsidP="0084647F">
      <w:pPr>
        <w:pStyle w:val="ListParagraph"/>
        <w:numPr>
          <w:ilvl w:val="0"/>
          <w:numId w:val="23"/>
        </w:numPr>
        <w:autoSpaceDE w:val="0"/>
        <w:autoSpaceDN w:val="0"/>
        <w:adjustRightInd w:val="0"/>
        <w:rPr>
          <w:rFonts w:cs="Arial"/>
          <w:szCs w:val="20"/>
        </w:rPr>
      </w:pPr>
      <w:r>
        <w:rPr>
          <w:rFonts w:cs="Arial"/>
          <w:szCs w:val="20"/>
        </w:rPr>
        <w:t xml:space="preserve">IPD Analytics. Patients with LEMS Will Transition to Catalyst’s Firdapse as Ruzurgi Approval Overturned. Trending Industry &amp; Strategy Topics. February 7, 2022. </w:t>
      </w:r>
    </w:p>
    <w:sectPr w:rsidR="00777CA4" w:rsidRPr="0084647F"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F9371" w14:textId="77777777" w:rsidR="00AE541F" w:rsidRPr="00C02553" w:rsidRDefault="00AE541F" w:rsidP="00AE77DB">
      <w:r w:rsidRPr="00C02553">
        <w:separator/>
      </w:r>
    </w:p>
  </w:endnote>
  <w:endnote w:type="continuationSeparator" w:id="0">
    <w:p w14:paraId="5C879F7A" w14:textId="77777777" w:rsidR="00AE541F" w:rsidRPr="00C02553" w:rsidRDefault="00AE541F" w:rsidP="00AE77DB">
      <w:r w:rsidRPr="00C02553">
        <w:continuationSeparator/>
      </w:r>
    </w:p>
  </w:endnote>
  <w:endnote w:type="continuationNotice" w:id="1">
    <w:p w14:paraId="01240FD5" w14:textId="77777777" w:rsidR="00AE541F" w:rsidRPr="00C02553" w:rsidRDefault="00AE5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4953E" w14:textId="77777777" w:rsidR="00AE541F" w:rsidRPr="00C02553" w:rsidRDefault="00AE541F" w:rsidP="00AE77DB">
      <w:r w:rsidRPr="00C02553">
        <w:separator/>
      </w:r>
    </w:p>
  </w:footnote>
  <w:footnote w:type="continuationSeparator" w:id="0">
    <w:p w14:paraId="6D603000" w14:textId="77777777" w:rsidR="00AE541F" w:rsidRPr="00C02553" w:rsidRDefault="00AE541F" w:rsidP="00AE77DB">
      <w:r w:rsidRPr="00C02553">
        <w:continuationSeparator/>
      </w:r>
    </w:p>
  </w:footnote>
  <w:footnote w:type="continuationNotice" w:id="1">
    <w:p w14:paraId="10EE6AC7" w14:textId="77777777" w:rsidR="00AE541F" w:rsidRPr="00C02553" w:rsidRDefault="00AE54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554CD64" w:rsidR="00006A61" w:rsidRPr="00C02553" w:rsidRDefault="00BC680C">
    <w:pPr>
      <w:pStyle w:val="Header"/>
      <w:framePr w:wrap="around" w:vAnchor="text" w:hAnchor="margin" w:xAlign="right" w:y="1"/>
      <w:rPr>
        <w:rStyle w:val="PageNumber"/>
        <w:rFonts w:ascii="Times New Roman" w:hAnsi="Times New Roman"/>
      </w:rPr>
    </w:pPr>
    <w:r>
      <w:rPr>
        <w:noProof/>
      </w:rPr>
      <w:pict w14:anchorId="78AFA4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61204"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F51A1E8" w:rsidR="00596936" w:rsidRDefault="00BC680C">
    <w:pPr>
      <w:pStyle w:val="Header"/>
    </w:pPr>
    <w:r>
      <w:rPr>
        <w:noProof/>
      </w:rPr>
      <w:pict w14:anchorId="0D2353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61205" o:spid="_x0000_s1027" type="#_x0000_t136" style="position:absolute;margin-left:0;margin-top:0;width:471.3pt;height:233.8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A3659FA" w:rsidR="00006A61" w:rsidRPr="00C02553" w:rsidRDefault="00BC680C">
    <w:pPr>
      <w:pStyle w:val="Header"/>
      <w:rPr>
        <w:rFonts w:ascii="Times New Roman" w:hAnsi="Times New Roman"/>
      </w:rPr>
    </w:pPr>
    <w:r>
      <w:rPr>
        <w:noProof/>
      </w:rPr>
      <w:pict w14:anchorId="5BBE9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61203" o:spid="_x0000_s1025" type="#_x0000_t136" style="position:absolute;margin-left:0;margin-top:0;width:471.3pt;height:257.2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A7A0F45"/>
    <w:multiLevelType w:val="hybridMultilevel"/>
    <w:tmpl w:val="750267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187831"/>
    <w:multiLevelType w:val="hybridMultilevel"/>
    <w:tmpl w:val="714E3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8D37D3"/>
    <w:multiLevelType w:val="hybridMultilevel"/>
    <w:tmpl w:val="C486E6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10"/>
  </w:num>
  <w:num w:numId="5" w16cid:durableId="1769498754">
    <w:abstractNumId w:val="3"/>
  </w:num>
  <w:num w:numId="6" w16cid:durableId="1094596320">
    <w:abstractNumId w:val="16"/>
  </w:num>
  <w:num w:numId="7" w16cid:durableId="2110008555">
    <w:abstractNumId w:val="2"/>
  </w:num>
  <w:num w:numId="8" w16cid:durableId="489712751">
    <w:abstractNumId w:val="9"/>
  </w:num>
  <w:num w:numId="9" w16cid:durableId="1085147965">
    <w:abstractNumId w:val="13"/>
  </w:num>
  <w:num w:numId="10" w16cid:durableId="917518096">
    <w:abstractNumId w:val="11"/>
  </w:num>
  <w:num w:numId="11" w16cid:durableId="1894998475">
    <w:abstractNumId w:val="1"/>
  </w:num>
  <w:num w:numId="12" w16cid:durableId="1418215296">
    <w:abstractNumId w:val="17"/>
  </w:num>
  <w:num w:numId="13" w16cid:durableId="604729665">
    <w:abstractNumId w:val="6"/>
  </w:num>
  <w:num w:numId="14" w16cid:durableId="1805081292">
    <w:abstractNumId w:val="14"/>
  </w:num>
  <w:num w:numId="15" w16cid:durableId="1911186802">
    <w:abstractNumId w:val="7"/>
  </w:num>
  <w:num w:numId="16" w16cid:durableId="1014304344">
    <w:abstractNumId w:val="19"/>
  </w:num>
  <w:num w:numId="17" w16cid:durableId="1397899452">
    <w:abstractNumId w:val="15"/>
  </w:num>
  <w:num w:numId="18" w16cid:durableId="279147771">
    <w:abstractNumId w:val="16"/>
  </w:num>
  <w:num w:numId="19" w16cid:durableId="69162268">
    <w:abstractNumId w:val="20"/>
  </w:num>
  <w:num w:numId="20" w16cid:durableId="404764218">
    <w:abstractNumId w:val="12"/>
  </w:num>
  <w:num w:numId="21" w16cid:durableId="1178498403">
    <w:abstractNumId w:val="18"/>
  </w:num>
  <w:num w:numId="22" w16cid:durableId="409888661">
    <w:abstractNumId w:val="8"/>
  </w:num>
  <w:num w:numId="23" w16cid:durableId="108549653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JcvX2SLgF11EijY28DNUKxTCTAVOapBfkFZ2VehGfuvoelYPb5VF96PZWBkF04fvs/BqxTjmWbVtiHLNo5Jlw==" w:salt="SayaDNDhbhXyS06r+lgI/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874E9"/>
    <w:rsid w:val="000913C3"/>
    <w:rsid w:val="000953B9"/>
    <w:rsid w:val="000A2D17"/>
    <w:rsid w:val="000A413B"/>
    <w:rsid w:val="000A6279"/>
    <w:rsid w:val="000B496B"/>
    <w:rsid w:val="000B5BDD"/>
    <w:rsid w:val="000C3940"/>
    <w:rsid w:val="000C5992"/>
    <w:rsid w:val="000D3319"/>
    <w:rsid w:val="000E1479"/>
    <w:rsid w:val="000E231E"/>
    <w:rsid w:val="000E247D"/>
    <w:rsid w:val="000E6B14"/>
    <w:rsid w:val="000E70D8"/>
    <w:rsid w:val="000F7A2F"/>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2455"/>
    <w:rsid w:val="001A50CB"/>
    <w:rsid w:val="001A74B7"/>
    <w:rsid w:val="001B2D47"/>
    <w:rsid w:val="001B51EF"/>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E14"/>
    <w:rsid w:val="00217EFD"/>
    <w:rsid w:val="00222134"/>
    <w:rsid w:val="0022233F"/>
    <w:rsid w:val="00222EE6"/>
    <w:rsid w:val="00226275"/>
    <w:rsid w:val="00241104"/>
    <w:rsid w:val="00246564"/>
    <w:rsid w:val="00246A3B"/>
    <w:rsid w:val="00250FBF"/>
    <w:rsid w:val="00255404"/>
    <w:rsid w:val="0025594F"/>
    <w:rsid w:val="002600FE"/>
    <w:rsid w:val="00270C5E"/>
    <w:rsid w:val="00290A03"/>
    <w:rsid w:val="0029159A"/>
    <w:rsid w:val="00291600"/>
    <w:rsid w:val="002A02F4"/>
    <w:rsid w:val="002A524A"/>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1D70"/>
    <w:rsid w:val="003F227C"/>
    <w:rsid w:val="003F6981"/>
    <w:rsid w:val="004023CC"/>
    <w:rsid w:val="00407564"/>
    <w:rsid w:val="00411152"/>
    <w:rsid w:val="004156AA"/>
    <w:rsid w:val="00424712"/>
    <w:rsid w:val="004253A1"/>
    <w:rsid w:val="004313B6"/>
    <w:rsid w:val="00433339"/>
    <w:rsid w:val="00446BBC"/>
    <w:rsid w:val="004472C0"/>
    <w:rsid w:val="00450705"/>
    <w:rsid w:val="00451928"/>
    <w:rsid w:val="004540E3"/>
    <w:rsid w:val="00460B5D"/>
    <w:rsid w:val="0046618B"/>
    <w:rsid w:val="0048608C"/>
    <w:rsid w:val="00496E57"/>
    <w:rsid w:val="004B3E10"/>
    <w:rsid w:val="004C0F5D"/>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442B"/>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08CF"/>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561D"/>
    <w:rsid w:val="006B6D5D"/>
    <w:rsid w:val="006D2330"/>
    <w:rsid w:val="006D4731"/>
    <w:rsid w:val="006E0F8B"/>
    <w:rsid w:val="006E12F7"/>
    <w:rsid w:val="006E29D7"/>
    <w:rsid w:val="006F4071"/>
    <w:rsid w:val="007068A4"/>
    <w:rsid w:val="00706D67"/>
    <w:rsid w:val="00713052"/>
    <w:rsid w:val="00721367"/>
    <w:rsid w:val="007231FA"/>
    <w:rsid w:val="00726360"/>
    <w:rsid w:val="00731CEE"/>
    <w:rsid w:val="00732C67"/>
    <w:rsid w:val="00734418"/>
    <w:rsid w:val="007422A1"/>
    <w:rsid w:val="00757080"/>
    <w:rsid w:val="00757826"/>
    <w:rsid w:val="00762B13"/>
    <w:rsid w:val="007632B7"/>
    <w:rsid w:val="0076382F"/>
    <w:rsid w:val="00765768"/>
    <w:rsid w:val="00765D10"/>
    <w:rsid w:val="00766AC8"/>
    <w:rsid w:val="00766D33"/>
    <w:rsid w:val="00767486"/>
    <w:rsid w:val="0077070E"/>
    <w:rsid w:val="0077296A"/>
    <w:rsid w:val="007773E8"/>
    <w:rsid w:val="00777CA4"/>
    <w:rsid w:val="00792DF0"/>
    <w:rsid w:val="0079438F"/>
    <w:rsid w:val="007A3034"/>
    <w:rsid w:val="007A43F8"/>
    <w:rsid w:val="007A527E"/>
    <w:rsid w:val="007A53E7"/>
    <w:rsid w:val="007A78F7"/>
    <w:rsid w:val="007B3333"/>
    <w:rsid w:val="007B379F"/>
    <w:rsid w:val="007B37D6"/>
    <w:rsid w:val="007B5D30"/>
    <w:rsid w:val="007D16D1"/>
    <w:rsid w:val="007D2920"/>
    <w:rsid w:val="007D42DD"/>
    <w:rsid w:val="007E6A37"/>
    <w:rsid w:val="007F1774"/>
    <w:rsid w:val="007F593C"/>
    <w:rsid w:val="00811A70"/>
    <w:rsid w:val="0081406E"/>
    <w:rsid w:val="00832211"/>
    <w:rsid w:val="008325F4"/>
    <w:rsid w:val="00832AC8"/>
    <w:rsid w:val="0084647F"/>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15FEB"/>
    <w:rsid w:val="009204BB"/>
    <w:rsid w:val="00935918"/>
    <w:rsid w:val="00935EC3"/>
    <w:rsid w:val="00951097"/>
    <w:rsid w:val="00952592"/>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61C0"/>
    <w:rsid w:val="009B001A"/>
    <w:rsid w:val="009B1A62"/>
    <w:rsid w:val="009C3CC7"/>
    <w:rsid w:val="009C68EC"/>
    <w:rsid w:val="009D2057"/>
    <w:rsid w:val="009D3D6C"/>
    <w:rsid w:val="009D5551"/>
    <w:rsid w:val="009D62DB"/>
    <w:rsid w:val="009E3B42"/>
    <w:rsid w:val="009F0A2C"/>
    <w:rsid w:val="009F21BB"/>
    <w:rsid w:val="009F518A"/>
    <w:rsid w:val="00A02AF6"/>
    <w:rsid w:val="00A05B60"/>
    <w:rsid w:val="00A13266"/>
    <w:rsid w:val="00A14FA6"/>
    <w:rsid w:val="00A15D64"/>
    <w:rsid w:val="00A20575"/>
    <w:rsid w:val="00A32452"/>
    <w:rsid w:val="00A325CC"/>
    <w:rsid w:val="00A32BBF"/>
    <w:rsid w:val="00A37444"/>
    <w:rsid w:val="00A4145C"/>
    <w:rsid w:val="00A4281A"/>
    <w:rsid w:val="00A459CF"/>
    <w:rsid w:val="00A5014D"/>
    <w:rsid w:val="00A53E96"/>
    <w:rsid w:val="00A56F18"/>
    <w:rsid w:val="00A628F8"/>
    <w:rsid w:val="00A62BAA"/>
    <w:rsid w:val="00A658AF"/>
    <w:rsid w:val="00A66172"/>
    <w:rsid w:val="00A744C3"/>
    <w:rsid w:val="00A8560F"/>
    <w:rsid w:val="00A97210"/>
    <w:rsid w:val="00AA70AB"/>
    <w:rsid w:val="00AB0B9F"/>
    <w:rsid w:val="00AB1713"/>
    <w:rsid w:val="00AB63BE"/>
    <w:rsid w:val="00AC1EBC"/>
    <w:rsid w:val="00AC2599"/>
    <w:rsid w:val="00AC2DE9"/>
    <w:rsid w:val="00AC3CD9"/>
    <w:rsid w:val="00AD2C5F"/>
    <w:rsid w:val="00AE1481"/>
    <w:rsid w:val="00AE27F9"/>
    <w:rsid w:val="00AE541F"/>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578F9"/>
    <w:rsid w:val="00B638C2"/>
    <w:rsid w:val="00B671A7"/>
    <w:rsid w:val="00B758AB"/>
    <w:rsid w:val="00B76277"/>
    <w:rsid w:val="00B772AB"/>
    <w:rsid w:val="00B80395"/>
    <w:rsid w:val="00B80B56"/>
    <w:rsid w:val="00B86372"/>
    <w:rsid w:val="00BA1C17"/>
    <w:rsid w:val="00BA1D65"/>
    <w:rsid w:val="00BB3B4D"/>
    <w:rsid w:val="00BC351E"/>
    <w:rsid w:val="00BC3F77"/>
    <w:rsid w:val="00BC5635"/>
    <w:rsid w:val="00BC5675"/>
    <w:rsid w:val="00BC680C"/>
    <w:rsid w:val="00BD081C"/>
    <w:rsid w:val="00BD277B"/>
    <w:rsid w:val="00BD47CA"/>
    <w:rsid w:val="00BD62C7"/>
    <w:rsid w:val="00BE020D"/>
    <w:rsid w:val="00BE354A"/>
    <w:rsid w:val="00BF5EEF"/>
    <w:rsid w:val="00C02553"/>
    <w:rsid w:val="00C04EB6"/>
    <w:rsid w:val="00C056F9"/>
    <w:rsid w:val="00C064B9"/>
    <w:rsid w:val="00C07A7B"/>
    <w:rsid w:val="00C1018C"/>
    <w:rsid w:val="00C1150E"/>
    <w:rsid w:val="00C14D52"/>
    <w:rsid w:val="00C2586C"/>
    <w:rsid w:val="00C26001"/>
    <w:rsid w:val="00C34E72"/>
    <w:rsid w:val="00C3693E"/>
    <w:rsid w:val="00C56B1F"/>
    <w:rsid w:val="00C61B52"/>
    <w:rsid w:val="00C62745"/>
    <w:rsid w:val="00C654CA"/>
    <w:rsid w:val="00C701A3"/>
    <w:rsid w:val="00C763BD"/>
    <w:rsid w:val="00C779A8"/>
    <w:rsid w:val="00C82E19"/>
    <w:rsid w:val="00C96873"/>
    <w:rsid w:val="00CA1735"/>
    <w:rsid w:val="00CA207E"/>
    <w:rsid w:val="00CA3C4B"/>
    <w:rsid w:val="00CA7252"/>
    <w:rsid w:val="00CB2C5A"/>
    <w:rsid w:val="00CE0C1C"/>
    <w:rsid w:val="00CE34AF"/>
    <w:rsid w:val="00CE7FA2"/>
    <w:rsid w:val="00CF00A4"/>
    <w:rsid w:val="00CF25FB"/>
    <w:rsid w:val="00CF614C"/>
    <w:rsid w:val="00D02F34"/>
    <w:rsid w:val="00D13D87"/>
    <w:rsid w:val="00D16590"/>
    <w:rsid w:val="00D20720"/>
    <w:rsid w:val="00D218FC"/>
    <w:rsid w:val="00D232D9"/>
    <w:rsid w:val="00D250D9"/>
    <w:rsid w:val="00D27533"/>
    <w:rsid w:val="00D40F9E"/>
    <w:rsid w:val="00D42DA3"/>
    <w:rsid w:val="00D4546D"/>
    <w:rsid w:val="00D47996"/>
    <w:rsid w:val="00D50C35"/>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537F"/>
    <w:rsid w:val="00DE7501"/>
    <w:rsid w:val="00DF0F99"/>
    <w:rsid w:val="00DF3146"/>
    <w:rsid w:val="00DF57C3"/>
    <w:rsid w:val="00E008D9"/>
    <w:rsid w:val="00E02FE0"/>
    <w:rsid w:val="00E03DD9"/>
    <w:rsid w:val="00E05F3F"/>
    <w:rsid w:val="00E07ABE"/>
    <w:rsid w:val="00E11A3F"/>
    <w:rsid w:val="00E1386E"/>
    <w:rsid w:val="00E2369B"/>
    <w:rsid w:val="00E23EC0"/>
    <w:rsid w:val="00E354AA"/>
    <w:rsid w:val="00E43D54"/>
    <w:rsid w:val="00E442FB"/>
    <w:rsid w:val="00E529DB"/>
    <w:rsid w:val="00E53A5E"/>
    <w:rsid w:val="00E6466A"/>
    <w:rsid w:val="00E72221"/>
    <w:rsid w:val="00E74CD4"/>
    <w:rsid w:val="00E81B96"/>
    <w:rsid w:val="00E83428"/>
    <w:rsid w:val="00E84C58"/>
    <w:rsid w:val="00E8583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EF79B5"/>
    <w:rsid w:val="00F03898"/>
    <w:rsid w:val="00F04B1A"/>
    <w:rsid w:val="00F1448E"/>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D3E56"/>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C701A3"/>
    <w:rPr>
      <w:sz w:val="16"/>
      <w:szCs w:val="16"/>
    </w:rPr>
  </w:style>
  <w:style w:type="paragraph" w:styleId="CommentSubject">
    <w:name w:val="annotation subject"/>
    <w:basedOn w:val="CommentText"/>
    <w:next w:val="CommentText"/>
    <w:link w:val="CommentSubjectChar"/>
    <w:uiPriority w:val="99"/>
    <w:semiHidden/>
    <w:unhideWhenUsed/>
    <w:rsid w:val="00C701A3"/>
    <w:rPr>
      <w:b/>
      <w:bCs/>
    </w:rPr>
  </w:style>
  <w:style w:type="character" w:customStyle="1" w:styleId="CommentSubjectChar">
    <w:name w:val="Comment Subject Char"/>
    <w:basedOn w:val="CommentTextChar"/>
    <w:link w:val="CommentSubject"/>
    <w:uiPriority w:val="99"/>
    <w:semiHidden/>
    <w:rsid w:val="00C701A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da.org/disease/lambert-eaton-myasthenic-syndrom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76FEF-D4EA-49AA-B0E3-ECCE3616A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purl.org/dc/elements/1.1/"/>
    <ds:schemaRef ds:uri="aba01ddc-ae9a-4c9e-819c-7140b4239cde"/>
    <ds:schemaRef ds:uri="http://schemas.microsoft.com/office/2006/documentManagement/types"/>
    <ds:schemaRef ds:uri="http://purl.org/dc/dcmitype/"/>
    <ds:schemaRef ds:uri="http://purl.org/dc/terms/"/>
    <ds:schemaRef ds:uri="f5eefb00-5952-4f7e-8cf8-96f81cfadd01"/>
    <ds:schemaRef ds:uri="http://www.w3.org/XML/1998/namespace"/>
    <ds:schemaRef ds:uri="http://schemas.microsoft.com/office/infopath/2007/PartnerControls"/>
    <ds:schemaRef ds:uri="http://schemas.openxmlformats.org/package/2006/metadata/core-properties"/>
    <ds:schemaRef ds:uri="http://schemas.microsoft.com/sharepoint/v3"/>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584</Words>
  <Characters>3335</Characters>
  <Application>Microsoft Office Word</Application>
  <DocSecurity>10</DocSecurity>
  <Lines>27</Lines>
  <Paragraphs>7</Paragraphs>
  <ScaleCrop>false</ScaleCrop>
  <HeadingPairs>
    <vt:vector size="2" baseType="variant">
      <vt:variant>
        <vt:lpstr>Title</vt:lpstr>
      </vt:variant>
      <vt:variant>
        <vt:i4>1</vt:i4>
      </vt:variant>
    </vt:vector>
  </HeadingPairs>
  <TitlesOfParts>
    <vt:vector size="1" baseType="lpstr">
      <vt:lpstr>LEMS CE</vt:lpstr>
    </vt:vector>
  </TitlesOfParts>
  <Company>DSS</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LEMS CE</dc:title>
  <dc:subject/>
  <dc:creator>DMS</dc:creator>
  <cp:keywords/>
  <cp:lastModifiedBy>Herzing, Jamie</cp:lastModifiedBy>
  <cp:revision>43</cp:revision>
  <cp:lastPrinted>2018-10-31T18:17:00Z</cp:lastPrinted>
  <dcterms:created xsi:type="dcterms:W3CDTF">2026-01-12T02:00:00Z</dcterms:created>
  <dcterms:modified xsi:type="dcterms:W3CDTF">2026-10-09T21:21:00Z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b552a2e89991dba2679df897569adecdd55f48ea97cb6ba7a091ad31900a0f84</vt:lpwstr>
  </property>
</Properties>
</file>