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7137D30D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proofErr w:type="spellStart"/>
      <w:r w:rsidR="005F6C35" w:rsidRPr="00E00E54">
        <w:rPr>
          <w:b w:val="0"/>
          <w:bCs/>
        </w:rPr>
        <w:t>Lipotropics</w:t>
      </w:r>
      <w:proofErr w:type="spellEnd"/>
      <w:r w:rsidR="005F6C35" w:rsidRPr="00E00E54">
        <w:rPr>
          <w:b w:val="0"/>
          <w:bCs/>
        </w:rPr>
        <w:t>, Alternative Agents PDL Edit</w:t>
      </w:r>
    </w:p>
    <w:p w14:paraId="7AD7FFCE" w14:textId="284A3203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E00E54" w:rsidRPr="00E00E54">
        <w:rPr>
          <w:b w:val="0"/>
          <w:bCs/>
        </w:rPr>
        <w:t>January 9, 2025</w:t>
      </w:r>
    </w:p>
    <w:p w14:paraId="4B7D760D" w14:textId="22905D05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E00E54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765F39C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7A5979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D3A1781" w14:textId="3F145F0A" w:rsidR="002E68AF" w:rsidRDefault="002E68AF" w:rsidP="002E68AF">
      <w:r>
        <w:t>High levels of low-density lipoprotein cholesterol (LDL-C) can increase the risk of serious cardiovascular events, such as heart attacks, strokes, and peripheral artery disease. Current guidelines recommend statins as first-line therapy for reducing LDL-C and preventing cardiovascular events. The American College of Cardiology (ACC) guidelines recommend add-on therapies, such as ezetimibe (Zetia) and bempedoic acid (Nexletol), in patients that require alternative or additional treatments due to statin intolerance or insufficient response.</w:t>
      </w:r>
    </w:p>
    <w:p w14:paraId="38A49FBB" w14:textId="77777777" w:rsidR="002E68AF" w:rsidRDefault="002E68AF" w:rsidP="002E68AF"/>
    <w:p w14:paraId="1E90AA1E" w14:textId="059231E2" w:rsidR="002E68AF" w:rsidRDefault="002E68AF" w:rsidP="002E68AF">
      <w:r>
        <w:t>Nexletol was approved by the US Food and Drug Administration (FDA) in 2020 as an adjunct to diet and statin therapy for adults with heterozygous familial hypercholesterolemia (</w:t>
      </w:r>
      <w:proofErr w:type="spellStart"/>
      <w:r>
        <w:t>HeFH</w:t>
      </w:r>
      <w:proofErr w:type="spellEnd"/>
      <w:r>
        <w:t xml:space="preserve">) or established atherosclerotic cardiovascular disease (ASCVD) who need additional lowering of LDL-C. In 2024, Nexletol received approval for an expanded indication to include use in adults unable to take statins who have established cardiovascular disease (CVD) or are </w:t>
      </w:r>
      <w:proofErr w:type="gramStart"/>
      <w:r>
        <w:t>a high</w:t>
      </w:r>
      <w:proofErr w:type="gramEnd"/>
      <w:r>
        <w:t xml:space="preserve"> risk for a CVD event to reduce the risk of myocardial infarction and coronary revascularization. Additionally, Nexletol is approved as an adjunct to diet for LDL-C lowering in adults with primary hyperlipidemia, including </w:t>
      </w:r>
      <w:proofErr w:type="spellStart"/>
      <w:r>
        <w:t>HeFH</w:t>
      </w:r>
      <w:proofErr w:type="spellEnd"/>
      <w:r>
        <w:t>, when other LDL-C lowering therapies are not possible. Zetia, a cholesterol absorption inhibitor, was approved by</w:t>
      </w:r>
      <w:r w:rsidR="000B69B1">
        <w:t xml:space="preserve"> the</w:t>
      </w:r>
      <w:r>
        <w:t xml:space="preserve"> FDA in 2002 and is indicated for primary hyperlipidemia, mixed hyperlipidemia, and homozygous familial sitosterolemia, either as monotherapy or in combination with statins or other LDL-C lowering therapies. </w:t>
      </w:r>
      <w:proofErr w:type="spellStart"/>
      <w:r>
        <w:t>Nexlizet</w:t>
      </w:r>
      <w:proofErr w:type="spellEnd"/>
      <w:r>
        <w:t xml:space="preserve"> (bempedoic acid and ezetimibe) was FDA approved in 2020 and shares the same indications as Nexletol. </w:t>
      </w:r>
    </w:p>
    <w:p w14:paraId="2EDB0AEE" w14:textId="77777777" w:rsidR="002E68AF" w:rsidRDefault="002E68AF" w:rsidP="002E68AF"/>
    <w:p w14:paraId="28C79136" w14:textId="243F119F" w:rsidR="009053EA" w:rsidRDefault="002E68AF" w:rsidP="002E68AF">
      <w: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224BBE3" w14:textId="25D42C1A" w:rsidR="009053EA" w:rsidRPr="00A405F1" w:rsidRDefault="00A405F1" w:rsidP="00A405F1">
      <w:pPr>
        <w:pStyle w:val="ListParagraph"/>
        <w:numPr>
          <w:ilvl w:val="0"/>
          <w:numId w:val="16"/>
        </w:numPr>
        <w:ind w:left="360"/>
        <w:rPr>
          <w:rFonts w:cs="Arial"/>
          <w:szCs w:val="20"/>
        </w:rPr>
      </w:pPr>
      <w:r w:rsidRPr="00A405F1">
        <w:rPr>
          <w:rFonts w:cs="Arial"/>
          <w:szCs w:val="20"/>
        </w:rPr>
        <w:t>Ezetimibe</w:t>
      </w:r>
    </w:p>
    <w:p w14:paraId="36AB14B9" w14:textId="77777777" w:rsidR="00A405F1" w:rsidRDefault="00A405F1" w:rsidP="009053EA">
      <w:pPr>
        <w:rPr>
          <w:rFonts w:cs="Arial"/>
          <w:szCs w:val="20"/>
        </w:rPr>
      </w:pPr>
    </w:p>
    <w:p w14:paraId="2AD4BF8E" w14:textId="0AB5457E" w:rsidR="000B69B1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3AE83CD5" w14:textId="6737AECA" w:rsidR="000B69B1" w:rsidRPr="006D7CD7" w:rsidRDefault="000B69B1" w:rsidP="000B69B1">
      <w:pPr>
        <w:numPr>
          <w:ilvl w:val="0"/>
          <w:numId w:val="17"/>
        </w:numPr>
        <w:rPr>
          <w:i/>
          <w:iCs/>
        </w:rPr>
      </w:pPr>
      <w:r w:rsidRPr="006D7CD7">
        <w:t>Nexletol</w:t>
      </w:r>
    </w:p>
    <w:p w14:paraId="7A728095" w14:textId="5E39682D" w:rsidR="000B69B1" w:rsidRDefault="000B69B1" w:rsidP="000B69B1">
      <w:pPr>
        <w:numPr>
          <w:ilvl w:val="0"/>
          <w:numId w:val="17"/>
        </w:numPr>
        <w:rPr>
          <w:i/>
          <w:iCs/>
        </w:rPr>
      </w:pPr>
      <w:proofErr w:type="spellStart"/>
      <w:r w:rsidRPr="006D7CD7">
        <w:t>Nexlizet</w:t>
      </w:r>
      <w:proofErr w:type="spellEnd"/>
    </w:p>
    <w:p w14:paraId="15BBBFBB" w14:textId="5B5E7CA8" w:rsidR="000B69B1" w:rsidRPr="006D7CD7" w:rsidRDefault="000B69B1" w:rsidP="000B69B1">
      <w:pPr>
        <w:numPr>
          <w:ilvl w:val="0"/>
          <w:numId w:val="17"/>
        </w:numPr>
        <w:rPr>
          <w:i/>
          <w:iCs/>
        </w:rPr>
      </w:pPr>
      <w:r w:rsidRPr="006D7CD7">
        <w:t>Zetia</w:t>
      </w: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473BCD3" w14:textId="7777777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3039A69F" w14:textId="77777777" w:rsidR="00051EE5" w:rsidRDefault="00051EE5" w:rsidP="00051EE5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2EB9FFCC" w14:textId="77777777" w:rsidR="00051EE5" w:rsidRPr="00AC15A7" w:rsidRDefault="00051EE5" w:rsidP="00051EE5">
      <w:pPr>
        <w:pStyle w:val="ListParagraph"/>
        <w:numPr>
          <w:ilvl w:val="1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a preferred agent; </w:t>
      </w:r>
      <w:r>
        <w:rPr>
          <w:rFonts w:cs="Arial"/>
          <w:b/>
          <w:szCs w:val="20"/>
        </w:rPr>
        <w:t>OR</w:t>
      </w:r>
    </w:p>
    <w:p w14:paraId="30970D60" w14:textId="77777777" w:rsidR="00051EE5" w:rsidRPr="0082384E" w:rsidRDefault="00051EE5" w:rsidP="00051EE5">
      <w:pPr>
        <w:pStyle w:val="ListParagraph"/>
        <w:numPr>
          <w:ilvl w:val="1"/>
          <w:numId w:val="18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Failure to achieve desired therapeutic outcomes with tria</w:t>
      </w:r>
      <w:r>
        <w:rPr>
          <w:rFonts w:cs="Arial"/>
          <w:bCs/>
          <w:szCs w:val="20"/>
        </w:rPr>
        <w:t>l on 1 or more preferred agents;</w:t>
      </w:r>
    </w:p>
    <w:p w14:paraId="2DE8F4AB" w14:textId="77777777" w:rsidR="00051EE5" w:rsidRPr="0082384E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trial period for preferred agents</w:t>
      </w:r>
      <w:r>
        <w:rPr>
          <w:rFonts w:cs="Arial"/>
          <w:bCs/>
          <w:szCs w:val="20"/>
        </w:rPr>
        <w:t xml:space="preserve">; </w:t>
      </w:r>
      <w:r w:rsidRPr="0082384E">
        <w:rPr>
          <w:rFonts w:cs="Arial"/>
          <w:b/>
          <w:bCs/>
          <w:szCs w:val="20"/>
        </w:rPr>
        <w:t>OR</w:t>
      </w:r>
    </w:p>
    <w:p w14:paraId="5CFF00F6" w14:textId="77777777" w:rsidR="00051EE5" w:rsidRPr="0082384E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ADE/ADR to preferred agents</w:t>
      </w:r>
      <w:r>
        <w:rPr>
          <w:rFonts w:cs="Arial"/>
          <w:bCs/>
          <w:szCs w:val="20"/>
        </w:rPr>
        <w:t>.</w:t>
      </w:r>
      <w:r w:rsidRPr="0082384E">
        <w:rPr>
          <w:rFonts w:cs="Arial"/>
          <w:bCs/>
          <w:szCs w:val="20"/>
        </w:rPr>
        <w:t xml:space="preserve"> </w:t>
      </w:r>
    </w:p>
    <w:p w14:paraId="3DD4CA17" w14:textId="77777777" w:rsidR="00051EE5" w:rsidRDefault="00051EE5" w:rsidP="00051EE5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Nexletol and </w:t>
      </w:r>
      <w:proofErr w:type="spellStart"/>
      <w:r>
        <w:rPr>
          <w:rFonts w:cs="Arial"/>
          <w:bCs/>
          <w:szCs w:val="20"/>
        </w:rPr>
        <w:t>Nexlizet</w:t>
      </w:r>
      <w:proofErr w:type="spellEnd"/>
      <w:r>
        <w:rPr>
          <w:rFonts w:cs="Arial"/>
          <w:bCs/>
          <w:szCs w:val="20"/>
        </w:rPr>
        <w:t xml:space="preserve">: </w:t>
      </w:r>
    </w:p>
    <w:p w14:paraId="27599D56" w14:textId="77777777" w:rsidR="00051EE5" w:rsidRDefault="00051EE5" w:rsidP="00051EE5">
      <w:pPr>
        <w:pStyle w:val="ListParagraph"/>
        <w:numPr>
          <w:ilvl w:val="1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Initial therapy – must meet all of the following: </w:t>
      </w:r>
    </w:p>
    <w:p w14:paraId="33F5C2EF" w14:textId="77777777" w:rsidR="00051EE5" w:rsidRPr="00EC03A6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Documented d</w:t>
      </w:r>
      <w:r w:rsidRPr="00EC03A6">
        <w:rPr>
          <w:rFonts w:cs="Arial"/>
          <w:bCs/>
          <w:szCs w:val="20"/>
        </w:rPr>
        <w:t>iagno</w:t>
      </w:r>
      <w:r>
        <w:rPr>
          <w:rFonts w:cs="Arial"/>
          <w:bCs/>
          <w:szCs w:val="20"/>
        </w:rPr>
        <w:t xml:space="preserve">sis of hypercholesterolemia </w:t>
      </w:r>
      <w:r w:rsidRPr="00EC03A6">
        <w:rPr>
          <w:rFonts w:cs="Arial"/>
          <w:bCs/>
          <w:szCs w:val="20"/>
        </w:rPr>
        <w:t>or clinical atherosclerotic cardiovascular disease</w:t>
      </w:r>
      <w:r>
        <w:rPr>
          <w:rFonts w:cs="Arial"/>
          <w:bCs/>
          <w:szCs w:val="20"/>
        </w:rPr>
        <w:t xml:space="preserve"> in the past year;</w:t>
      </w:r>
    </w:p>
    <w:p w14:paraId="76442ABB" w14:textId="77777777" w:rsidR="00051EE5" w:rsidRPr="00EC03A6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Documented compliance </w:t>
      </w:r>
      <w:r w:rsidRPr="00EC03A6">
        <w:rPr>
          <w:rFonts w:cs="Arial"/>
          <w:bCs/>
          <w:szCs w:val="20"/>
        </w:rPr>
        <w:t>on high dose statin</w:t>
      </w:r>
      <w:r>
        <w:rPr>
          <w:rFonts w:cs="Arial"/>
          <w:bCs/>
          <w:szCs w:val="20"/>
        </w:rPr>
        <w:t xml:space="preserve"> therapy (90/120 days) </w:t>
      </w:r>
      <w:r w:rsidRPr="00EC03A6">
        <w:rPr>
          <w:rFonts w:cs="Arial"/>
          <w:bCs/>
          <w:szCs w:val="20"/>
        </w:rPr>
        <w:t>or documentation of intolerance to statin therap</w:t>
      </w:r>
      <w:r>
        <w:rPr>
          <w:rFonts w:cs="Arial"/>
          <w:bCs/>
          <w:szCs w:val="20"/>
        </w:rPr>
        <w:t xml:space="preserve">y; </w:t>
      </w:r>
      <w:r w:rsidRPr="00CE2F65">
        <w:rPr>
          <w:rFonts w:cs="Arial"/>
          <w:b/>
          <w:bCs/>
          <w:szCs w:val="20"/>
        </w:rPr>
        <w:t>AND</w:t>
      </w:r>
    </w:p>
    <w:p w14:paraId="302834F5" w14:textId="77777777" w:rsidR="00051EE5" w:rsidRDefault="00051EE5" w:rsidP="00051EE5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Documentation of c</w:t>
      </w:r>
      <w:r w:rsidRPr="00EC03A6">
        <w:rPr>
          <w:rFonts w:cs="Arial"/>
          <w:bCs/>
          <w:szCs w:val="20"/>
        </w:rPr>
        <w:t>urrent lipid pr</w:t>
      </w:r>
      <w:r>
        <w:rPr>
          <w:rFonts w:cs="Arial"/>
          <w:bCs/>
          <w:szCs w:val="20"/>
        </w:rPr>
        <w:t>ofile no less than 3 months old.</w:t>
      </w:r>
    </w:p>
    <w:p w14:paraId="11845992" w14:textId="77777777" w:rsidR="00051EE5" w:rsidRDefault="00051EE5" w:rsidP="00051EE5">
      <w:pPr>
        <w:pStyle w:val="ListParagraph"/>
        <w:numPr>
          <w:ilvl w:val="1"/>
          <w:numId w:val="18"/>
        </w:numPr>
      </w:pPr>
      <w:r w:rsidRPr="00582C06">
        <w:t>Continuation of Therapy</w:t>
      </w:r>
      <w:r>
        <w:t xml:space="preserve"> – m</w:t>
      </w:r>
      <w:r w:rsidRPr="00C02553">
        <w:t>ust meet all of the following:</w:t>
      </w:r>
    </w:p>
    <w:p w14:paraId="1D6D0338" w14:textId="77777777" w:rsidR="00051EE5" w:rsidRPr="00D16558" w:rsidRDefault="00051EE5" w:rsidP="00051EE5">
      <w:pPr>
        <w:pStyle w:val="ListParagraph"/>
        <w:numPr>
          <w:ilvl w:val="2"/>
          <w:numId w:val="6"/>
        </w:numPr>
        <w:rPr>
          <w:rFonts w:cs="Arial"/>
        </w:rPr>
      </w:pPr>
      <w:r w:rsidRPr="002D7439">
        <w:rPr>
          <w:rFonts w:cs="Arial"/>
          <w:bCs/>
          <w:szCs w:val="20"/>
        </w:rPr>
        <w:t>Documentation of cholesterol goals and current LDL levels</w:t>
      </w:r>
      <w:r>
        <w:rPr>
          <w:rFonts w:cs="Arial"/>
          <w:bCs/>
          <w:szCs w:val="20"/>
        </w:rPr>
        <w:t>.</w:t>
      </w:r>
      <w:r w:rsidRPr="002D7439">
        <w:rPr>
          <w:rFonts w:cs="Arial"/>
          <w:b/>
          <w:bCs/>
          <w:szCs w:val="20"/>
        </w:rPr>
        <w:tab/>
      </w:r>
    </w:p>
    <w:p w14:paraId="5BD3C1EC" w14:textId="77777777" w:rsidR="009053EA" w:rsidRPr="002C2C41" w:rsidRDefault="009053EA" w:rsidP="009053EA">
      <w:pPr>
        <w:rPr>
          <w:rFonts w:cs="Arial"/>
          <w:szCs w:val="20"/>
        </w:rPr>
      </w:pPr>
    </w:p>
    <w:p w14:paraId="65C37038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6FBD94ED" w14:textId="77777777" w:rsidR="00F41A76" w:rsidRPr="0044602A" w:rsidRDefault="00F41A76" w:rsidP="00F41A76">
      <w:pPr>
        <w:pStyle w:val="ListParagraph"/>
        <w:numPr>
          <w:ilvl w:val="0"/>
          <w:numId w:val="19"/>
        </w:numPr>
      </w:pPr>
      <w:r w:rsidRPr="0044602A">
        <w:t xml:space="preserve">Therapy will deny </w:t>
      </w:r>
      <w:proofErr w:type="gramStart"/>
      <w:r w:rsidRPr="0044602A">
        <w:t>with</w:t>
      </w:r>
      <w:proofErr w:type="gramEnd"/>
      <w:r w:rsidRPr="0044602A">
        <w:t xml:space="preserve"> presence of one of the following:</w:t>
      </w:r>
    </w:p>
    <w:p w14:paraId="57074DD8" w14:textId="77777777" w:rsidR="00F41A76" w:rsidRPr="005328B2" w:rsidRDefault="00F41A76" w:rsidP="00F41A76">
      <w:pPr>
        <w:pStyle w:val="ListParagraph"/>
        <w:numPr>
          <w:ilvl w:val="0"/>
          <w:numId w:val="20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4E423A26" w14:textId="77777777" w:rsidR="00F41A76" w:rsidRPr="005328B2" w:rsidRDefault="00F41A76" w:rsidP="00F41A76">
      <w:pPr>
        <w:pStyle w:val="ListParagraph"/>
        <w:numPr>
          <w:ilvl w:val="0"/>
          <w:numId w:val="20"/>
        </w:numPr>
      </w:pPr>
      <w:r w:rsidRPr="005328B2">
        <w:t>Claim exceeds maximum dosing limitations: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3417"/>
        <w:gridCol w:w="3418"/>
        <w:gridCol w:w="2515"/>
      </w:tblGrid>
      <w:tr w:rsidR="00F41A76" w:rsidRPr="00C02553" w14:paraId="6DB89EBC" w14:textId="77777777" w:rsidTr="000710E7">
        <w:trPr>
          <w:trHeight w:val="276"/>
        </w:trPr>
        <w:tc>
          <w:tcPr>
            <w:tcW w:w="3417" w:type="dxa"/>
            <w:shd w:val="clear" w:color="auto" w:fill="FABF8F"/>
          </w:tcPr>
          <w:p w14:paraId="5DBDA61C" w14:textId="77777777" w:rsidR="00F41A76" w:rsidRPr="00C02553" w:rsidRDefault="00F41A76" w:rsidP="000710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3418" w:type="dxa"/>
            <w:shd w:val="clear" w:color="auto" w:fill="FABF8F"/>
          </w:tcPr>
          <w:p w14:paraId="4F9A6600" w14:textId="77777777" w:rsidR="00F41A76" w:rsidRPr="00C02553" w:rsidRDefault="00F41A76" w:rsidP="000710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  <w:tc>
          <w:tcPr>
            <w:tcW w:w="2515" w:type="dxa"/>
            <w:shd w:val="clear" w:color="auto" w:fill="FABF8F"/>
          </w:tcPr>
          <w:p w14:paraId="7147E211" w14:textId="77777777" w:rsidR="00F41A76" w:rsidRPr="00C02553" w:rsidRDefault="00F41A76" w:rsidP="000710E7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Max Dosing Limitation</w:t>
            </w:r>
          </w:p>
        </w:tc>
      </w:tr>
      <w:tr w:rsidR="00F41A76" w:rsidRPr="00C02553" w14:paraId="61221558" w14:textId="77777777" w:rsidTr="000710E7">
        <w:trPr>
          <w:trHeight w:val="276"/>
        </w:trPr>
        <w:tc>
          <w:tcPr>
            <w:tcW w:w="3417" w:type="dxa"/>
          </w:tcPr>
          <w:p w14:paraId="5EAE762D" w14:textId="77777777" w:rsidR="00F41A76" w:rsidRPr="00F730BA" w:rsidRDefault="00F41A76" w:rsidP="000710E7">
            <w:pPr>
              <w:rPr>
                <w:rFonts w:cs="Arial"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>NEXLETOL 180 MG TABLET</w:t>
            </w:r>
          </w:p>
        </w:tc>
        <w:tc>
          <w:tcPr>
            <w:tcW w:w="3418" w:type="dxa"/>
          </w:tcPr>
          <w:p w14:paraId="65F87B21" w14:textId="77777777" w:rsidR="00F41A76" w:rsidRPr="00F730BA" w:rsidRDefault="00F41A76" w:rsidP="000710E7">
            <w:pPr>
              <w:rPr>
                <w:rFonts w:cs="Arial"/>
                <w:caps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>BEMPEDOIC ACID</w:t>
            </w:r>
          </w:p>
        </w:tc>
        <w:tc>
          <w:tcPr>
            <w:tcW w:w="2515" w:type="dxa"/>
          </w:tcPr>
          <w:p w14:paraId="08989894" w14:textId="77777777" w:rsidR="00F41A76" w:rsidRPr="00F730BA" w:rsidRDefault="00F41A76" w:rsidP="000710E7">
            <w:pPr>
              <w:rPr>
                <w:rFonts w:cs="Arial"/>
                <w:szCs w:val="20"/>
              </w:rPr>
            </w:pPr>
            <w:r w:rsidRPr="00970C07">
              <w:rPr>
                <w:rFonts w:cs="Arial"/>
                <w:bCs/>
                <w:szCs w:val="20"/>
              </w:rPr>
              <w:t>1 tablet per day</w:t>
            </w:r>
          </w:p>
        </w:tc>
      </w:tr>
      <w:tr w:rsidR="00F41A76" w:rsidRPr="00C02553" w14:paraId="6369FD12" w14:textId="77777777" w:rsidTr="000710E7">
        <w:trPr>
          <w:trHeight w:val="276"/>
        </w:trPr>
        <w:tc>
          <w:tcPr>
            <w:tcW w:w="3417" w:type="dxa"/>
          </w:tcPr>
          <w:p w14:paraId="7399B7EB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>nexlizet 180/10 mg tablet</w:t>
            </w:r>
          </w:p>
        </w:tc>
        <w:tc>
          <w:tcPr>
            <w:tcW w:w="3418" w:type="dxa"/>
          </w:tcPr>
          <w:p w14:paraId="6B31A23D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  <w:szCs w:val="20"/>
              </w:rPr>
              <w:t xml:space="preserve">bempedoic acid/ezetimibe </w:t>
            </w:r>
          </w:p>
        </w:tc>
        <w:tc>
          <w:tcPr>
            <w:tcW w:w="2515" w:type="dxa"/>
          </w:tcPr>
          <w:p w14:paraId="6A29DF57" w14:textId="77777777" w:rsidR="00F41A76" w:rsidRPr="00970C07" w:rsidRDefault="00F41A76" w:rsidP="000710E7">
            <w:pPr>
              <w:rPr>
                <w:rFonts w:cs="Arial"/>
                <w:bCs/>
                <w:szCs w:val="20"/>
              </w:rPr>
            </w:pPr>
            <w:r w:rsidRPr="00970C07">
              <w:rPr>
                <w:rFonts w:cs="Arial"/>
                <w:bCs/>
                <w:szCs w:val="20"/>
              </w:rPr>
              <w:t>1 tablet per day</w:t>
            </w:r>
          </w:p>
        </w:tc>
      </w:tr>
      <w:tr w:rsidR="00F41A76" w:rsidRPr="00C02553" w14:paraId="6E824113" w14:textId="77777777" w:rsidTr="000710E7">
        <w:trPr>
          <w:trHeight w:val="276"/>
        </w:trPr>
        <w:tc>
          <w:tcPr>
            <w:tcW w:w="3417" w:type="dxa"/>
          </w:tcPr>
          <w:p w14:paraId="741E8E07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</w:rPr>
              <w:t>zetia 10 mg tablet</w:t>
            </w:r>
          </w:p>
        </w:tc>
        <w:tc>
          <w:tcPr>
            <w:tcW w:w="3418" w:type="dxa"/>
          </w:tcPr>
          <w:p w14:paraId="533B915C" w14:textId="77777777" w:rsidR="00F41A76" w:rsidRPr="00970C07" w:rsidRDefault="00F41A76" w:rsidP="000710E7">
            <w:pPr>
              <w:rPr>
                <w:rFonts w:cs="Arial"/>
                <w:bCs/>
                <w:caps/>
                <w:szCs w:val="20"/>
              </w:rPr>
            </w:pPr>
            <w:r w:rsidRPr="00970C07">
              <w:rPr>
                <w:rFonts w:cs="Arial"/>
                <w:bCs/>
                <w:caps/>
              </w:rPr>
              <w:t>ezetimibe</w:t>
            </w:r>
          </w:p>
        </w:tc>
        <w:tc>
          <w:tcPr>
            <w:tcW w:w="2515" w:type="dxa"/>
          </w:tcPr>
          <w:p w14:paraId="2F446923" w14:textId="77777777" w:rsidR="00F41A76" w:rsidRPr="00970C07" w:rsidRDefault="00F41A76" w:rsidP="000710E7">
            <w:pPr>
              <w:rPr>
                <w:rFonts w:cs="Arial"/>
                <w:bCs/>
                <w:szCs w:val="20"/>
              </w:rPr>
            </w:pPr>
            <w:r w:rsidRPr="00970C07">
              <w:rPr>
                <w:rFonts w:cs="Arial"/>
                <w:bCs/>
                <w:szCs w:val="20"/>
              </w:rPr>
              <w:t>1 tablet per day</w:t>
            </w:r>
          </w:p>
        </w:tc>
      </w:tr>
    </w:tbl>
    <w:p w14:paraId="45A584A4" w14:textId="77777777" w:rsidR="00051EE5" w:rsidRPr="00051EE5" w:rsidRDefault="00051EE5" w:rsidP="00051EE5"/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704108FA" w14:textId="3F2B159C" w:rsidR="000A2293" w:rsidRDefault="000A2293" w:rsidP="000A2293">
      <w:pPr>
        <w:numPr>
          <w:ilvl w:val="0"/>
          <w:numId w:val="21"/>
        </w:numPr>
        <w:rPr>
          <w:rFonts w:cs="Arial"/>
        </w:rPr>
      </w:pPr>
      <w:r>
        <w:rPr>
          <w:rStyle w:val="normaltextrun"/>
          <w:rFonts w:cs="Arial"/>
          <w:color w:val="000000"/>
          <w:szCs w:val="20"/>
          <w:shd w:val="clear" w:color="auto" w:fill="FFFFFF"/>
        </w:rPr>
        <w:t xml:space="preserve">Evidence-Based Medicine and Fiscal Analysis: “Therapeutic Class Review: CARDIOVASCULAR: </w:t>
      </w:r>
      <w:proofErr w:type="spellStart"/>
      <w:r>
        <w:rPr>
          <w:rStyle w:val="normaltextrun"/>
          <w:rFonts w:cs="Arial"/>
          <w:color w:val="000000"/>
          <w:szCs w:val="20"/>
          <w:shd w:val="clear" w:color="auto" w:fill="FFFFFF"/>
        </w:rPr>
        <w:t>Lipotropics</w:t>
      </w:r>
      <w:proofErr w:type="spellEnd"/>
      <w:r>
        <w:rPr>
          <w:rStyle w:val="normaltextrun"/>
          <w:rFonts w:cs="Arial"/>
          <w:color w:val="000000"/>
          <w:szCs w:val="20"/>
          <w:shd w:val="clear" w:color="auto" w:fill="FFFFFF"/>
        </w:rPr>
        <w:t xml:space="preserve">, Alternative Agents”, Gainwell Technologies; Last updated July </w:t>
      </w:r>
      <w:r w:rsidR="001B2A6C">
        <w:rPr>
          <w:rStyle w:val="normaltextrun"/>
          <w:rFonts w:cs="Arial"/>
          <w:color w:val="000000"/>
          <w:szCs w:val="20"/>
          <w:shd w:val="clear" w:color="auto" w:fill="FFFFFF"/>
        </w:rPr>
        <w:t xml:space="preserve">3, </w:t>
      </w:r>
      <w:r>
        <w:rPr>
          <w:rStyle w:val="normaltextrun"/>
          <w:rFonts w:cs="Arial"/>
          <w:color w:val="000000"/>
          <w:szCs w:val="20"/>
          <w:shd w:val="clear" w:color="auto" w:fill="FFFFFF"/>
        </w:rPr>
        <w:t>202</w:t>
      </w:r>
      <w:r w:rsidR="00DD16FD">
        <w:rPr>
          <w:rStyle w:val="normaltextrun"/>
          <w:rFonts w:cs="Arial"/>
          <w:color w:val="000000"/>
          <w:szCs w:val="20"/>
          <w:shd w:val="clear" w:color="auto" w:fill="FFFFFF"/>
        </w:rPr>
        <w:t>6</w:t>
      </w:r>
      <w:r>
        <w:rPr>
          <w:rStyle w:val="normaltextrun"/>
          <w:rFonts w:cs="Arial"/>
          <w:color w:val="000000"/>
          <w:szCs w:val="20"/>
          <w:shd w:val="clear" w:color="auto" w:fill="FFFFFF"/>
        </w:rPr>
        <w:t>.</w:t>
      </w:r>
      <w:r>
        <w:rPr>
          <w:rStyle w:val="eop"/>
          <w:rFonts w:cs="Arial"/>
          <w:color w:val="000000"/>
          <w:szCs w:val="20"/>
          <w:shd w:val="clear" w:color="auto" w:fill="FFFFFF"/>
        </w:rPr>
        <w:t> </w:t>
      </w:r>
    </w:p>
    <w:p w14:paraId="0A02457A" w14:textId="3FED7006" w:rsidR="000A2293" w:rsidRDefault="000A2293" w:rsidP="000A2293">
      <w:pPr>
        <w:numPr>
          <w:ilvl w:val="0"/>
          <w:numId w:val="21"/>
        </w:numPr>
        <w:rPr>
          <w:rFonts w:cs="Arial"/>
        </w:rPr>
      </w:pPr>
      <w:r w:rsidRPr="002F2405">
        <w:rPr>
          <w:rFonts w:cs="Arial"/>
        </w:rPr>
        <w:t>Evidence-Based Medicine Analysis: “</w:t>
      </w:r>
      <w:proofErr w:type="spellStart"/>
      <w:r w:rsidRPr="002F2405">
        <w:rPr>
          <w:rFonts w:cs="Arial"/>
        </w:rPr>
        <w:t>Lipotropics</w:t>
      </w:r>
      <w:proofErr w:type="spellEnd"/>
      <w:r w:rsidRPr="002F2405">
        <w:rPr>
          <w:rFonts w:cs="Arial"/>
        </w:rPr>
        <w:t xml:space="preserve">: Statins, </w:t>
      </w:r>
      <w:r w:rsidRPr="006C71C2">
        <w:rPr>
          <w:rFonts w:cs="Arial"/>
        </w:rPr>
        <w:t>Cholesterol Absorption Inhibitors, Combinations, and Alternative Agents</w:t>
      </w:r>
      <w:r w:rsidRPr="002F2405">
        <w:rPr>
          <w:rFonts w:cs="Arial"/>
        </w:rPr>
        <w:t xml:space="preserve">”, UMKC-DIC; </w:t>
      </w:r>
      <w:r>
        <w:rPr>
          <w:rFonts w:cs="Arial"/>
        </w:rPr>
        <w:t>Ju</w:t>
      </w:r>
      <w:r w:rsidR="007D61C2">
        <w:rPr>
          <w:rFonts w:cs="Arial"/>
        </w:rPr>
        <w:t>ly</w:t>
      </w:r>
      <w:r>
        <w:rPr>
          <w:rFonts w:cs="Arial"/>
        </w:rPr>
        <w:t xml:space="preserve"> 202</w:t>
      </w:r>
      <w:r w:rsidR="00943B11">
        <w:rPr>
          <w:rFonts w:cs="Arial"/>
        </w:rPr>
        <w:t>6</w:t>
      </w:r>
      <w:r w:rsidRPr="002F2405">
        <w:rPr>
          <w:rFonts w:cs="Arial"/>
        </w:rPr>
        <w:t>.</w:t>
      </w:r>
    </w:p>
    <w:p w14:paraId="3C43670A" w14:textId="77777777" w:rsidR="00155F2A" w:rsidRDefault="002008D4" w:rsidP="000A2293">
      <w:pPr>
        <w:numPr>
          <w:ilvl w:val="0"/>
          <w:numId w:val="21"/>
        </w:numPr>
        <w:rPr>
          <w:rFonts w:cs="Arial"/>
          <w:szCs w:val="20"/>
        </w:rPr>
      </w:pPr>
      <w:bookmarkStart w:id="1" w:name="_Hlk111210854"/>
      <w:r>
        <w:t>Blumenthal RS, Morris PB, Gaudino M, et al. 2026 ACC/AHA/AACVPR/ABC/ACPM/ADA/AGS/</w:t>
      </w:r>
      <w:proofErr w:type="spellStart"/>
      <w:r>
        <w:t>APhA</w:t>
      </w:r>
      <w:proofErr w:type="spellEnd"/>
      <w:r>
        <w:t xml:space="preserve">/ASPC/NLA/PCNA Guideline on the Management of Dyslipidemia. J Am Coll </w:t>
      </w:r>
      <w:proofErr w:type="spellStart"/>
      <w:r>
        <w:t>Cardiol</w:t>
      </w:r>
      <w:proofErr w:type="spellEnd"/>
      <w:r>
        <w:t>. 2026 Mar 13</w:t>
      </w:r>
      <w:r w:rsidR="000A2293">
        <w:rPr>
          <w:rFonts w:cs="Arial"/>
          <w:szCs w:val="20"/>
        </w:rPr>
        <w:t>.</w:t>
      </w:r>
    </w:p>
    <w:p w14:paraId="1430071B" w14:textId="543E8769" w:rsidR="000A2293" w:rsidRPr="00731377" w:rsidRDefault="00731377" w:rsidP="000A2293">
      <w:pPr>
        <w:numPr>
          <w:ilvl w:val="0"/>
          <w:numId w:val="21"/>
        </w:numPr>
      </w:pPr>
      <w:r>
        <w:t>Patel S, Wyne K, Afreen S, et al. American Association of Clinical Endocrinology Clinical Practice Guideline on Pharmacologic Management of Adults with Dyslipidemia. Endocrine Practice 2025 Feb; 31 (2): 236-262.</w:t>
      </w:r>
    </w:p>
    <w:bookmarkEnd w:id="1"/>
    <w:p w14:paraId="118D499D" w14:textId="77777777" w:rsidR="000A2293" w:rsidRPr="00137FCF" w:rsidRDefault="000A2293" w:rsidP="000A2293">
      <w:pPr>
        <w:numPr>
          <w:ilvl w:val="0"/>
          <w:numId w:val="21"/>
        </w:numPr>
        <w:rPr>
          <w:rFonts w:cs="Arial"/>
        </w:rPr>
      </w:pPr>
      <w:r w:rsidRPr="00D61CE4">
        <w:rPr>
          <w:rFonts w:cs="Arial"/>
        </w:rPr>
        <w:t xml:space="preserve">Lloyd-Jones D, Morris P, Ballantyne C et al. 2022 ACC </w:t>
      </w:r>
      <w:r>
        <w:rPr>
          <w:rFonts w:cs="Arial"/>
        </w:rPr>
        <w:t>E</w:t>
      </w:r>
      <w:r w:rsidRPr="00D61CE4">
        <w:rPr>
          <w:rFonts w:cs="Arial"/>
        </w:rPr>
        <w:t xml:space="preserve">xpert </w:t>
      </w:r>
      <w:r>
        <w:rPr>
          <w:rFonts w:cs="Arial"/>
        </w:rPr>
        <w:t>C</w:t>
      </w:r>
      <w:r w:rsidRPr="00D61CE4">
        <w:rPr>
          <w:rFonts w:cs="Arial"/>
        </w:rPr>
        <w:t xml:space="preserve">onsensus </w:t>
      </w:r>
      <w:r>
        <w:rPr>
          <w:rFonts w:cs="Arial"/>
        </w:rPr>
        <w:t>D</w:t>
      </w:r>
      <w:r w:rsidRPr="00D61CE4">
        <w:rPr>
          <w:rFonts w:cs="Arial"/>
        </w:rPr>
        <w:t xml:space="preserve">ecision </w:t>
      </w:r>
      <w:r>
        <w:rPr>
          <w:rFonts w:cs="Arial"/>
        </w:rPr>
        <w:t>P</w:t>
      </w:r>
      <w:r w:rsidRPr="00D61CE4">
        <w:rPr>
          <w:rFonts w:cs="Arial"/>
        </w:rPr>
        <w:t xml:space="preserve">athway on the </w:t>
      </w:r>
      <w:r>
        <w:rPr>
          <w:rFonts w:cs="Arial"/>
        </w:rPr>
        <w:t>R</w:t>
      </w:r>
      <w:r w:rsidRPr="00D61CE4">
        <w:rPr>
          <w:rFonts w:cs="Arial"/>
        </w:rPr>
        <w:t xml:space="preserve">ole of </w:t>
      </w:r>
      <w:proofErr w:type="spellStart"/>
      <w:r>
        <w:rPr>
          <w:rFonts w:cs="Arial"/>
        </w:rPr>
        <w:t>N</w:t>
      </w:r>
      <w:r w:rsidRPr="00D61CE4">
        <w:rPr>
          <w:rFonts w:cs="Arial"/>
        </w:rPr>
        <w:t>onstatin</w:t>
      </w:r>
      <w:proofErr w:type="spellEnd"/>
      <w:r w:rsidRPr="00D61CE4">
        <w:rPr>
          <w:rFonts w:cs="Arial"/>
        </w:rPr>
        <w:t xml:space="preserve"> </w:t>
      </w:r>
      <w:r>
        <w:rPr>
          <w:rFonts w:cs="Arial"/>
        </w:rPr>
        <w:t>T</w:t>
      </w:r>
      <w:r w:rsidRPr="00D61CE4">
        <w:rPr>
          <w:rFonts w:cs="Arial"/>
        </w:rPr>
        <w:t xml:space="preserve">herapies for LDL-cholesterol </w:t>
      </w:r>
      <w:r>
        <w:rPr>
          <w:rFonts w:cs="Arial"/>
        </w:rPr>
        <w:t>L</w:t>
      </w:r>
      <w:r w:rsidRPr="00D61CE4">
        <w:rPr>
          <w:rFonts w:cs="Arial"/>
        </w:rPr>
        <w:t xml:space="preserve">owering in the </w:t>
      </w:r>
      <w:r>
        <w:rPr>
          <w:rFonts w:cs="Arial"/>
        </w:rPr>
        <w:t>M</w:t>
      </w:r>
      <w:r w:rsidRPr="00D61CE4">
        <w:rPr>
          <w:rFonts w:cs="Arial"/>
        </w:rPr>
        <w:t xml:space="preserve">anagement of </w:t>
      </w:r>
      <w:r>
        <w:rPr>
          <w:rFonts w:cs="Arial"/>
        </w:rPr>
        <w:t>A</w:t>
      </w:r>
      <w:r w:rsidRPr="00D61CE4">
        <w:rPr>
          <w:rFonts w:cs="Arial"/>
        </w:rPr>
        <w:t xml:space="preserve">therosclerotic </w:t>
      </w:r>
      <w:r>
        <w:rPr>
          <w:rFonts w:cs="Arial"/>
        </w:rPr>
        <w:t>C</w:t>
      </w:r>
      <w:r w:rsidRPr="00D61CE4">
        <w:rPr>
          <w:rFonts w:cs="Arial"/>
        </w:rPr>
        <w:t xml:space="preserve">ardiovascular </w:t>
      </w:r>
      <w:r>
        <w:rPr>
          <w:rFonts w:cs="Arial"/>
        </w:rPr>
        <w:t>D</w:t>
      </w:r>
      <w:r w:rsidRPr="00D61CE4">
        <w:rPr>
          <w:rFonts w:cs="Arial"/>
        </w:rPr>
        <w:t xml:space="preserve">isease </w:t>
      </w:r>
      <w:r>
        <w:rPr>
          <w:rFonts w:cs="Arial"/>
        </w:rPr>
        <w:t>R</w:t>
      </w:r>
      <w:r w:rsidRPr="00D61CE4">
        <w:rPr>
          <w:rFonts w:cs="Arial"/>
        </w:rPr>
        <w:t xml:space="preserve">isk: </w:t>
      </w:r>
      <w:r>
        <w:rPr>
          <w:rFonts w:cs="Arial"/>
        </w:rPr>
        <w:t>A</w:t>
      </w:r>
      <w:r w:rsidRPr="00D61CE4">
        <w:rPr>
          <w:rFonts w:cs="Arial"/>
        </w:rPr>
        <w:t xml:space="preserve"> </w:t>
      </w:r>
      <w:r>
        <w:rPr>
          <w:rFonts w:cs="Arial"/>
        </w:rPr>
        <w:t>R</w:t>
      </w:r>
      <w:r w:rsidRPr="00D61CE4">
        <w:rPr>
          <w:rFonts w:cs="Arial"/>
        </w:rPr>
        <w:t xml:space="preserve">eport of the American College of Cardiology Solution Set Oversight Committee. J Am Coll </w:t>
      </w:r>
      <w:proofErr w:type="spellStart"/>
      <w:r w:rsidRPr="00D61CE4">
        <w:rPr>
          <w:rFonts w:cs="Arial"/>
        </w:rPr>
        <w:t>Cardiol</w:t>
      </w:r>
      <w:proofErr w:type="spellEnd"/>
      <w:r w:rsidRPr="00D61CE4">
        <w:rPr>
          <w:rFonts w:cs="Arial"/>
        </w:rPr>
        <w:t>. 2022;80(14):1366-1418.</w:t>
      </w:r>
    </w:p>
    <w:p w14:paraId="744DC55A" w14:textId="6374A59A" w:rsidR="000A2293" w:rsidRDefault="000A2293" w:rsidP="000A2293">
      <w:pPr>
        <w:numPr>
          <w:ilvl w:val="0"/>
          <w:numId w:val="21"/>
        </w:numPr>
        <w:rPr>
          <w:rFonts w:cs="Arial"/>
        </w:rPr>
      </w:pPr>
      <w:bookmarkStart w:id="2" w:name="_Hlk34121003"/>
      <w:bookmarkStart w:id="3" w:name="_Hlk46147642"/>
      <w:r w:rsidRPr="00BF4E23">
        <w:rPr>
          <w:rFonts w:cs="Arial"/>
          <w:szCs w:val="20"/>
        </w:rPr>
        <w:t>USPDI, Micromedex; 202</w:t>
      </w:r>
      <w:r w:rsidR="00BC4613">
        <w:rPr>
          <w:rFonts w:cs="Arial"/>
          <w:szCs w:val="20"/>
        </w:rPr>
        <w:t>6</w:t>
      </w:r>
      <w:r w:rsidRPr="00BF4E23">
        <w:rPr>
          <w:rFonts w:cs="Arial"/>
          <w:szCs w:val="20"/>
        </w:rPr>
        <w:t xml:space="preserve">. </w:t>
      </w:r>
      <w:bookmarkStart w:id="4" w:name="_Hlk45607827"/>
    </w:p>
    <w:p w14:paraId="66990C2C" w14:textId="784D352E" w:rsidR="000A2293" w:rsidRPr="00856A25" w:rsidRDefault="000A2293" w:rsidP="000A2293">
      <w:pPr>
        <w:numPr>
          <w:ilvl w:val="0"/>
          <w:numId w:val="21"/>
        </w:numPr>
        <w:rPr>
          <w:rFonts w:cs="Arial"/>
        </w:rPr>
      </w:pPr>
      <w:r w:rsidRPr="00BF4E23">
        <w:rPr>
          <w:rFonts w:cs="Arial"/>
          <w:szCs w:val="20"/>
        </w:rPr>
        <w:lastRenderedPageBreak/>
        <w:t xml:space="preserve">Facts and Comparisons </w:t>
      </w:r>
      <w:proofErr w:type="spellStart"/>
      <w:r w:rsidRPr="00BF4E23">
        <w:rPr>
          <w:rFonts w:cs="Arial"/>
          <w:szCs w:val="20"/>
        </w:rPr>
        <w:t>eAnswers</w:t>
      </w:r>
      <w:proofErr w:type="spellEnd"/>
      <w:r w:rsidRPr="00BF4E23">
        <w:rPr>
          <w:rFonts w:cs="Arial"/>
          <w:szCs w:val="20"/>
        </w:rPr>
        <w:t xml:space="preserve"> (online); 202</w:t>
      </w:r>
      <w:r w:rsidR="00BC4613">
        <w:rPr>
          <w:rFonts w:cs="Arial"/>
          <w:szCs w:val="20"/>
        </w:rPr>
        <w:t>6</w:t>
      </w:r>
      <w:r>
        <w:rPr>
          <w:rFonts w:cs="Arial"/>
          <w:szCs w:val="20"/>
        </w:rPr>
        <w:t xml:space="preserve"> </w:t>
      </w:r>
      <w:r w:rsidRPr="00BF4E23">
        <w:rPr>
          <w:rFonts w:cs="Arial"/>
          <w:szCs w:val="20"/>
        </w:rPr>
        <w:t xml:space="preserve">Clinical Drug Information, LLC. </w:t>
      </w:r>
      <w:bookmarkEnd w:id="2"/>
      <w:bookmarkEnd w:id="3"/>
      <w:bookmarkEnd w:id="4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E780D" w14:textId="77777777" w:rsidR="00CC20F2" w:rsidRPr="00C02553" w:rsidRDefault="00CC20F2" w:rsidP="00AE77DB">
      <w:r w:rsidRPr="00C02553">
        <w:separator/>
      </w:r>
    </w:p>
  </w:endnote>
  <w:endnote w:type="continuationSeparator" w:id="0">
    <w:p w14:paraId="5EB49AD5" w14:textId="77777777" w:rsidR="00CC20F2" w:rsidRPr="00C02553" w:rsidRDefault="00CC20F2" w:rsidP="00AE77DB">
      <w:r w:rsidRPr="00C02553">
        <w:continuationSeparator/>
      </w:r>
    </w:p>
  </w:endnote>
  <w:endnote w:type="continuationNotice" w:id="1">
    <w:p w14:paraId="38A81EE9" w14:textId="77777777" w:rsidR="00CC20F2" w:rsidRPr="00C02553" w:rsidRDefault="00CC20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81C95" w14:textId="77777777" w:rsidR="00CC20F2" w:rsidRPr="00C02553" w:rsidRDefault="00CC20F2" w:rsidP="00AE77DB">
      <w:r w:rsidRPr="00C02553">
        <w:separator/>
      </w:r>
    </w:p>
  </w:footnote>
  <w:footnote w:type="continuationSeparator" w:id="0">
    <w:p w14:paraId="06AB56DD" w14:textId="77777777" w:rsidR="00CC20F2" w:rsidRPr="00C02553" w:rsidRDefault="00CC20F2" w:rsidP="00AE77DB">
      <w:r w:rsidRPr="00C02553">
        <w:continuationSeparator/>
      </w:r>
    </w:p>
  </w:footnote>
  <w:footnote w:type="continuationNotice" w:id="1">
    <w:p w14:paraId="2E0FEF8C" w14:textId="77777777" w:rsidR="00CC20F2" w:rsidRPr="00C02553" w:rsidRDefault="00CC20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4B2BE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4B2BE1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4B2BE1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52D5CF1"/>
    <w:multiLevelType w:val="multilevel"/>
    <w:tmpl w:val="25BE6C7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B018BF"/>
    <w:multiLevelType w:val="hybridMultilevel"/>
    <w:tmpl w:val="1742A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453E13"/>
    <w:multiLevelType w:val="hybridMultilevel"/>
    <w:tmpl w:val="3E9E7D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9F4570"/>
    <w:multiLevelType w:val="hybridMultilevel"/>
    <w:tmpl w:val="265E3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6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5"/>
  </w:num>
  <w:num w:numId="14" w16cid:durableId="1805081292">
    <w:abstractNumId w:val="15"/>
  </w:num>
  <w:num w:numId="15" w16cid:durableId="1911186802">
    <w:abstractNumId w:val="6"/>
  </w:num>
  <w:num w:numId="16" w16cid:durableId="173691453">
    <w:abstractNumId w:val="12"/>
  </w:num>
  <w:num w:numId="17" w16cid:durableId="723600171">
    <w:abstractNumId w:val="11"/>
  </w:num>
  <w:num w:numId="18" w16cid:durableId="1760710007">
    <w:abstractNumId w:val="20"/>
  </w:num>
  <w:num w:numId="19" w16cid:durableId="1346857666">
    <w:abstractNumId w:val="18"/>
  </w:num>
  <w:num w:numId="20" w16cid:durableId="1185169255">
    <w:abstractNumId w:val="8"/>
  </w:num>
  <w:num w:numId="21" w16cid:durableId="148237996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H/teKJ0xP2OkP1hStNI1ZFgcS+68JY/LlrApkggDg/Mqpj2jYFWuUa99vDLTQ1FilMfQld7O2Xkl2pt9kNlC5Q==" w:salt="qLyG12NOf2wV3CaT7d3oL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1741"/>
    <w:rsid w:val="000276D9"/>
    <w:rsid w:val="000344C5"/>
    <w:rsid w:val="00040AD3"/>
    <w:rsid w:val="00051EE5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293"/>
    <w:rsid w:val="000A2D17"/>
    <w:rsid w:val="000A413B"/>
    <w:rsid w:val="000A6279"/>
    <w:rsid w:val="000B496B"/>
    <w:rsid w:val="000B69B1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5F2A"/>
    <w:rsid w:val="0015636A"/>
    <w:rsid w:val="00172053"/>
    <w:rsid w:val="00177A80"/>
    <w:rsid w:val="001808B8"/>
    <w:rsid w:val="001A50CB"/>
    <w:rsid w:val="001A74B7"/>
    <w:rsid w:val="001B2A6C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08D4"/>
    <w:rsid w:val="00202DD3"/>
    <w:rsid w:val="002051CF"/>
    <w:rsid w:val="00206E7D"/>
    <w:rsid w:val="00217E14"/>
    <w:rsid w:val="00217EFD"/>
    <w:rsid w:val="0022094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E68AF"/>
    <w:rsid w:val="002F0E52"/>
    <w:rsid w:val="002F2274"/>
    <w:rsid w:val="002F2405"/>
    <w:rsid w:val="002F3747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62EA5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981"/>
    <w:rsid w:val="004023CC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A4C70"/>
    <w:rsid w:val="004B2BE1"/>
    <w:rsid w:val="004B3E10"/>
    <w:rsid w:val="004C0F5D"/>
    <w:rsid w:val="004C375A"/>
    <w:rsid w:val="004C4954"/>
    <w:rsid w:val="004C5767"/>
    <w:rsid w:val="004C72B9"/>
    <w:rsid w:val="004D0080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5CFE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E595F"/>
    <w:rsid w:val="005F0A81"/>
    <w:rsid w:val="005F0FCF"/>
    <w:rsid w:val="005F6104"/>
    <w:rsid w:val="005F6C35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31FA"/>
    <w:rsid w:val="00731377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3084"/>
    <w:rsid w:val="007A527E"/>
    <w:rsid w:val="007A53E7"/>
    <w:rsid w:val="007A5979"/>
    <w:rsid w:val="007A78F7"/>
    <w:rsid w:val="007B3333"/>
    <w:rsid w:val="007B379F"/>
    <w:rsid w:val="007B37D6"/>
    <w:rsid w:val="007B5D30"/>
    <w:rsid w:val="007D2920"/>
    <w:rsid w:val="007D42DD"/>
    <w:rsid w:val="007D61C2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053EA"/>
    <w:rsid w:val="00915332"/>
    <w:rsid w:val="009204BB"/>
    <w:rsid w:val="00935918"/>
    <w:rsid w:val="00935EC3"/>
    <w:rsid w:val="00943B11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05F1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4613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C20F2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16FD"/>
    <w:rsid w:val="00DD4819"/>
    <w:rsid w:val="00DD4B8A"/>
    <w:rsid w:val="00DD5403"/>
    <w:rsid w:val="00DE1388"/>
    <w:rsid w:val="00DE7501"/>
    <w:rsid w:val="00DF3146"/>
    <w:rsid w:val="00DF57C3"/>
    <w:rsid w:val="00E008D9"/>
    <w:rsid w:val="00E00E54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A76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285A"/>
    <w:rsid w:val="00F852C8"/>
    <w:rsid w:val="00F87CCE"/>
    <w:rsid w:val="00F903BE"/>
    <w:rsid w:val="00F95D04"/>
    <w:rsid w:val="00F97476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C72B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2B9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C72B9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2B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purl.org/dc/terms/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f5eefb00-5952-4f7e-8cf8-96f81cfadd01"/>
    <ds:schemaRef ds:uri="http://purl.org/dc/elements/1.1/"/>
    <ds:schemaRef ds:uri="http://schemas.openxmlformats.org/package/2006/metadata/core-properties"/>
    <ds:schemaRef ds:uri="aba01ddc-ae9a-4c9e-819c-7140b4239cd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714EF1-2DBB-4E60-A82F-62C1D676A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674</Words>
  <Characters>4116</Characters>
  <Application>Microsoft Office Word</Application>
  <DocSecurity>10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Lipotropics, Alternative Agents PDL Edit</vt:lpstr>
    </vt:vector>
  </TitlesOfParts>
  <Company>DSS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Lipotropics, Alternative Agents PDL Edit</dc:title>
  <dc:subject/>
  <dc:creator>DMS</dc:creator>
  <cp:keywords/>
  <cp:lastModifiedBy>Herzing, Jamie</cp:lastModifiedBy>
  <cp:revision>39</cp:revision>
  <cp:lastPrinted>2018-10-31T18:17:00Z</cp:lastPrinted>
  <dcterms:created xsi:type="dcterms:W3CDTF">2025-11-19T15:39:00Z</dcterms:created>
  <dcterms:modified xsi:type="dcterms:W3CDTF">2026-10-09T20:27:00Z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d115767d369bb42afdfbf7ec4a3e2c7741deef4f5e51c58d37ffdf61a48c92c1</vt:lpwstr>
  </property>
</Properties>
</file>