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17BC21BD" w:rsidR="004C5767" w:rsidRPr="008859E1" w:rsidRDefault="004C5767" w:rsidP="00D27533">
      <w:pPr>
        <w:pStyle w:val="tbody"/>
        <w:rPr>
          <w:b w:val="0"/>
          <w:bCs/>
        </w:rPr>
      </w:pPr>
      <w:r w:rsidRPr="00C02553">
        <w:t>Drug/Drug Class:</w:t>
      </w:r>
      <w:r w:rsidR="003B4820">
        <w:t xml:space="preserve"> </w:t>
      </w:r>
      <w:r w:rsidR="00E1437B" w:rsidRPr="00D26B0A">
        <w:rPr>
          <w:b w:val="0"/>
          <w:bCs/>
        </w:rPr>
        <w:t>Proprotein Convertase Subtilisin Kexin type 9 (PCSK9) Inhibitors PDL Edit</w:t>
      </w:r>
    </w:p>
    <w:p w14:paraId="7AD7FFCE" w14:textId="4D1ED136" w:rsidR="004C5767" w:rsidRPr="00C02553" w:rsidRDefault="004C5767" w:rsidP="00D27533">
      <w:pPr>
        <w:pStyle w:val="tbody"/>
      </w:pPr>
      <w:r w:rsidRPr="00C02553">
        <w:t xml:space="preserve">First Implementation Date: </w:t>
      </w:r>
      <w:r w:rsidR="00D26B0A" w:rsidRPr="00D26B0A">
        <w:rPr>
          <w:b w:val="0"/>
          <w:bCs/>
        </w:rPr>
        <w:t>January 10, 2019</w:t>
      </w:r>
    </w:p>
    <w:p w14:paraId="4B7D760D" w14:textId="74E7C1B8" w:rsidR="004C5767" w:rsidRPr="00D232D9" w:rsidRDefault="00D95E68" w:rsidP="15EB50BA">
      <w:pPr>
        <w:pStyle w:val="tbody"/>
        <w:rPr>
          <w:b w:val="0"/>
        </w:rPr>
      </w:pPr>
      <w:r>
        <w:t>Proposed</w:t>
      </w:r>
      <w:r w:rsidR="004C5767">
        <w:t xml:space="preserve"> Date:</w:t>
      </w:r>
      <w:r w:rsidR="00065C22">
        <w:t xml:space="preserve"> </w:t>
      </w:r>
      <w:r w:rsidR="00D26B0A">
        <w:rPr>
          <w:b w:val="0"/>
        </w:rPr>
        <w:t xml:space="preserve">October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284C57C7" w:rsidR="004C5767" w:rsidRPr="00D27533" w:rsidRDefault="004C5767" w:rsidP="00D27533">
      <w:pPr>
        <w:pStyle w:val="tbody"/>
        <w:rPr>
          <w:b w:val="0"/>
          <w:bCs/>
          <w:spacing w:val="-3"/>
        </w:rPr>
      </w:pPr>
      <w:r w:rsidRPr="00C02553">
        <w:t xml:space="preserve">Criteria Status: </w:t>
      </w:r>
      <w:r w:rsidR="00566BE4" w:rsidRPr="00D40E26">
        <w:rPr>
          <w:b w:val="0"/>
          <w:bCs/>
          <w:spacing w:val="-3"/>
        </w:rPr>
        <w:t>Existing Criteria</w:t>
      </w:r>
    </w:p>
    <w:p w14:paraId="0A9D5124" w14:textId="77777777" w:rsidR="009053EA" w:rsidRDefault="009053EA" w:rsidP="009053EA"/>
    <w:p w14:paraId="3E7E24B2" w14:textId="77777777" w:rsidR="009053EA" w:rsidRDefault="009053EA" w:rsidP="009053EA"/>
    <w:p w14:paraId="477350BB" w14:textId="77777777" w:rsidR="009053EA" w:rsidRPr="00C02553" w:rsidRDefault="009053EA" w:rsidP="009053EA">
      <w:pPr>
        <w:pStyle w:val="Heading1"/>
        <w:rPr>
          <w:lang w:val="en-US"/>
        </w:rPr>
      </w:pPr>
      <w:r w:rsidRPr="00C02553">
        <w:rPr>
          <w:lang w:val="en-US"/>
        </w:rPr>
        <w:t xml:space="preserve">Executive Summary </w:t>
      </w:r>
    </w:p>
    <w:p w14:paraId="2DECF94A" w14:textId="77777777" w:rsidR="009053EA" w:rsidRPr="00696E3A" w:rsidRDefault="009053EA" w:rsidP="009053EA">
      <w:pPr>
        <w:rPr>
          <w:b/>
          <w:bCs/>
        </w:rPr>
      </w:pPr>
      <w:r w:rsidRPr="00696E3A">
        <w:rPr>
          <w:b/>
          <w:bCs/>
        </w:rPr>
        <w:t xml:space="preserve">Purpose: </w:t>
      </w:r>
    </w:p>
    <w:p w14:paraId="7724602D" w14:textId="77777777" w:rsidR="009053EA" w:rsidRDefault="009053EA" w:rsidP="009053EA">
      <w:r w:rsidRPr="00B74BDD">
        <w:t xml:space="preserve">The MO HealthNet Pharmacy Program will implement a state-specific preferred drug list.  </w:t>
      </w:r>
    </w:p>
    <w:p w14:paraId="498A8573" w14:textId="77777777" w:rsidR="009053EA" w:rsidRPr="002C2C41" w:rsidRDefault="009053EA" w:rsidP="009053EA">
      <w:pPr>
        <w:rPr>
          <w:rFonts w:cs="Arial"/>
          <w:szCs w:val="20"/>
        </w:rPr>
      </w:pPr>
      <w:r w:rsidRPr="00C02553">
        <w:tab/>
      </w:r>
    </w:p>
    <w:p w14:paraId="622E6438" w14:textId="77777777" w:rsidR="009053EA" w:rsidRPr="00696E3A" w:rsidRDefault="009053EA" w:rsidP="009053EA">
      <w:pPr>
        <w:rPr>
          <w:b/>
          <w:bCs/>
        </w:rPr>
      </w:pPr>
      <w:r w:rsidRPr="00696E3A">
        <w:rPr>
          <w:b/>
          <w:bCs/>
        </w:rPr>
        <w:t>Why Issue Selected:</w:t>
      </w:r>
    </w:p>
    <w:p w14:paraId="1E41C2F2" w14:textId="57FAE9D5" w:rsidR="009741F4" w:rsidRPr="003860AD" w:rsidRDefault="009741F4" w:rsidP="009741F4">
      <w:pPr>
        <w:pStyle w:val="Header"/>
        <w:rPr>
          <w:rFonts w:eastAsia="Arial"/>
          <w:sz w:val="20"/>
        </w:rPr>
      </w:pPr>
      <w:r w:rsidRPr="003860AD">
        <w:rPr>
          <w:rFonts w:cs="Arial"/>
          <w:sz w:val="20"/>
        </w:rPr>
        <w:t>Proprotein convertase subtilisin/</w:t>
      </w:r>
      <w:proofErr w:type="spellStart"/>
      <w:r w:rsidRPr="003860AD">
        <w:rPr>
          <w:rFonts w:cs="Arial"/>
          <w:sz w:val="20"/>
        </w:rPr>
        <w:t>kexin</w:t>
      </w:r>
      <w:proofErr w:type="spellEnd"/>
      <w:r w:rsidRPr="003860AD">
        <w:rPr>
          <w:rFonts w:cs="Arial"/>
          <w:sz w:val="20"/>
        </w:rPr>
        <w:t xml:space="preserve"> type 9 (PCSK9) is a hepatic protease which functions to regulate the amount of cholesterol in circulation. PCSK9 binds to and breaks down low-density lipoprotein receptors (LDLR), which are responsible for the removal of cholesterol.  </w:t>
      </w:r>
      <w:proofErr w:type="spellStart"/>
      <w:r w:rsidRPr="003860AD">
        <w:rPr>
          <w:rFonts w:cs="Arial"/>
          <w:sz w:val="20"/>
        </w:rPr>
        <w:t>Praluent</w:t>
      </w:r>
      <w:proofErr w:type="spellEnd"/>
      <w:r w:rsidRPr="003860AD">
        <w:rPr>
          <w:rFonts w:cs="Arial"/>
          <w:sz w:val="20"/>
        </w:rPr>
        <w:t xml:space="preserve"> and Repatha, approved by the FDA in 2015, are monoclonal antibodies that bind to and inhibit PCSK9 from binding to LDLR resulting in a decrease in LDLR degradation.</w:t>
      </w:r>
      <w:r>
        <w:t xml:space="preserve"> </w:t>
      </w:r>
      <w:proofErr w:type="spellStart"/>
      <w:r w:rsidRPr="002C4C57">
        <w:rPr>
          <w:rFonts w:cs="Arial"/>
          <w:sz w:val="20"/>
        </w:rPr>
        <w:t>Praluent</w:t>
      </w:r>
      <w:proofErr w:type="spellEnd"/>
      <w:r w:rsidRPr="002C4C57">
        <w:rPr>
          <w:rFonts w:cs="Arial"/>
          <w:sz w:val="20"/>
        </w:rPr>
        <w:t xml:space="preserve"> is indicated for use as adjunct to diet, alone, or in</w:t>
      </w:r>
      <w:r>
        <w:rPr>
          <w:rFonts w:cs="Arial"/>
          <w:sz w:val="20"/>
        </w:rPr>
        <w:t xml:space="preserve"> </w:t>
      </w:r>
      <w:r w:rsidRPr="002C4C57">
        <w:rPr>
          <w:rFonts w:cs="Arial"/>
          <w:sz w:val="20"/>
        </w:rPr>
        <w:t xml:space="preserve">combination with other lipid-lowering medications for the treatment of primary </w:t>
      </w:r>
      <w:r>
        <w:rPr>
          <w:rFonts w:cs="Arial"/>
          <w:sz w:val="20"/>
        </w:rPr>
        <w:t>h</w:t>
      </w:r>
      <w:r w:rsidRPr="002C4C57">
        <w:rPr>
          <w:rFonts w:cs="Arial"/>
          <w:sz w:val="20"/>
        </w:rPr>
        <w:t xml:space="preserve">yperlipidemia and to reduce the risk of myocardial infarction, stroke and unstable angina requiring hospitalization in adult patients with cardiovascular disease (CVD).  </w:t>
      </w:r>
      <w:proofErr w:type="spellStart"/>
      <w:r w:rsidRPr="002C4C57">
        <w:rPr>
          <w:rFonts w:cs="Arial"/>
          <w:sz w:val="20"/>
        </w:rPr>
        <w:t>Praluent</w:t>
      </w:r>
      <w:proofErr w:type="spellEnd"/>
      <w:r w:rsidRPr="002C4C57">
        <w:rPr>
          <w:rFonts w:cs="Arial"/>
          <w:sz w:val="20"/>
        </w:rPr>
        <w:t xml:space="preserve"> is also indicated in adults for homozygous familial hypercholesterolemia (</w:t>
      </w:r>
      <w:proofErr w:type="spellStart"/>
      <w:r w:rsidRPr="002C4C57">
        <w:rPr>
          <w:rFonts w:cs="Arial"/>
          <w:sz w:val="20"/>
        </w:rPr>
        <w:t>HoFH</w:t>
      </w:r>
      <w:proofErr w:type="spellEnd"/>
      <w:r w:rsidRPr="002C4C57">
        <w:rPr>
          <w:rFonts w:cs="Arial"/>
          <w:sz w:val="20"/>
        </w:rPr>
        <w:t>) and adults and pediatric patients 8 years and older for heterozygous familial hypercholesterolemia (</w:t>
      </w:r>
      <w:proofErr w:type="spellStart"/>
      <w:r w:rsidRPr="002C4C57">
        <w:rPr>
          <w:rFonts w:cs="Arial"/>
          <w:sz w:val="20"/>
        </w:rPr>
        <w:t>HeFH</w:t>
      </w:r>
      <w:proofErr w:type="spellEnd"/>
      <w:r w:rsidRPr="002C4C57">
        <w:rPr>
          <w:rFonts w:cs="Arial"/>
          <w:sz w:val="20"/>
        </w:rPr>
        <w:t>). Repatha is indicated to reduce the risk of major adverse cardiovascular (CV) events (CV death, myocardial infarction, stroke, unstable angina requiring hospitalization, or coronary revascularization) in adults at increased risk for these events. Repatha is also indicated as an adjunct to diet and exercise to reduce LDL-C in adults and pediatric patients 10 years and older with heterozygous familial hypercholesterolemia (</w:t>
      </w:r>
      <w:proofErr w:type="spellStart"/>
      <w:r w:rsidRPr="002C4C57">
        <w:rPr>
          <w:rFonts w:cs="Arial"/>
          <w:sz w:val="20"/>
        </w:rPr>
        <w:t>HeFH</w:t>
      </w:r>
      <w:proofErr w:type="spellEnd"/>
      <w:r w:rsidRPr="002C4C57">
        <w:rPr>
          <w:rFonts w:cs="Arial"/>
          <w:sz w:val="20"/>
        </w:rPr>
        <w:t>) and homozygous familial hypercholesterolemia (</w:t>
      </w:r>
      <w:proofErr w:type="spellStart"/>
      <w:r w:rsidRPr="002C4C57">
        <w:rPr>
          <w:rFonts w:cs="Arial"/>
          <w:sz w:val="20"/>
        </w:rPr>
        <w:t>HoFH</w:t>
      </w:r>
      <w:proofErr w:type="spellEnd"/>
      <w:r w:rsidRPr="002C4C57">
        <w:rPr>
          <w:rFonts w:cs="Arial"/>
          <w:sz w:val="20"/>
        </w:rPr>
        <w:t>).</w:t>
      </w:r>
      <w:r w:rsidRPr="003860AD">
        <w:rPr>
          <w:rFonts w:cs="Arial"/>
          <w:sz w:val="20"/>
        </w:rPr>
        <w:t xml:space="preserve">  Leqvio, FDA approved in 2021, is a </w:t>
      </w:r>
      <w:r>
        <w:rPr>
          <w:rFonts w:cs="Arial"/>
          <w:sz w:val="20"/>
        </w:rPr>
        <w:t>small interfering RNA (</w:t>
      </w:r>
      <w:r w:rsidRPr="003860AD">
        <w:rPr>
          <w:rFonts w:cs="Arial"/>
          <w:sz w:val="20"/>
        </w:rPr>
        <w:t>siRNA</w:t>
      </w:r>
      <w:r>
        <w:rPr>
          <w:rFonts w:cs="Arial"/>
          <w:sz w:val="20"/>
        </w:rPr>
        <w:t>)</w:t>
      </w:r>
      <w:r w:rsidRPr="003860AD">
        <w:rPr>
          <w:rFonts w:cs="Arial"/>
          <w:sz w:val="20"/>
        </w:rPr>
        <w:t xml:space="preserve">, which utilizes RNA interference in hepatocytes to cause catalytic breakdown of mRNA for PCSK9 synthesis; therefore, increasing clearance of </w:t>
      </w:r>
      <w:r>
        <w:rPr>
          <w:rFonts w:cs="Arial"/>
          <w:sz w:val="20"/>
        </w:rPr>
        <w:t>low-density lipoprotein cholesterol (</w:t>
      </w:r>
      <w:r w:rsidRPr="003860AD">
        <w:rPr>
          <w:rFonts w:cs="Arial"/>
          <w:sz w:val="20"/>
        </w:rPr>
        <w:t>LDL</w:t>
      </w:r>
      <w:r>
        <w:rPr>
          <w:rFonts w:cs="Arial"/>
          <w:sz w:val="20"/>
        </w:rPr>
        <w:t>-C)</w:t>
      </w:r>
      <w:r w:rsidRPr="003860AD">
        <w:rPr>
          <w:rFonts w:cs="Arial"/>
          <w:sz w:val="20"/>
        </w:rPr>
        <w:t>.</w:t>
      </w:r>
      <w:r>
        <w:rPr>
          <w:rFonts w:cs="Arial"/>
          <w:sz w:val="20"/>
        </w:rPr>
        <w:t xml:space="preserve">  </w:t>
      </w:r>
      <w:proofErr w:type="spellStart"/>
      <w:r w:rsidRPr="003860AD">
        <w:rPr>
          <w:rFonts w:eastAsia="Arial"/>
          <w:sz w:val="20"/>
        </w:rPr>
        <w:t>Leqvio</w:t>
      </w:r>
      <w:proofErr w:type="spellEnd"/>
      <w:r w:rsidRPr="003860AD">
        <w:rPr>
          <w:rFonts w:eastAsia="Arial"/>
          <w:sz w:val="20"/>
        </w:rPr>
        <w:t xml:space="preserve"> is indicated as an adjunct to diet and </w:t>
      </w:r>
      <w:r>
        <w:rPr>
          <w:rFonts w:eastAsia="Arial"/>
          <w:sz w:val="20"/>
        </w:rPr>
        <w:t>exercise</w:t>
      </w:r>
      <w:r w:rsidRPr="003860AD">
        <w:rPr>
          <w:rFonts w:eastAsia="Arial"/>
          <w:sz w:val="20"/>
        </w:rPr>
        <w:t xml:space="preserve"> for the treatment of adults with</w:t>
      </w:r>
      <w:r w:rsidRPr="003860AD">
        <w:rPr>
          <w:rFonts w:cs="Arial"/>
          <w:sz w:val="20"/>
        </w:rPr>
        <w:t xml:space="preserve"> primary</w:t>
      </w:r>
      <w:r>
        <w:rPr>
          <w:rFonts w:cs="Arial"/>
          <w:sz w:val="20"/>
        </w:rPr>
        <w:t xml:space="preserve"> </w:t>
      </w:r>
      <w:r w:rsidRPr="003860AD">
        <w:rPr>
          <w:rFonts w:cs="Arial"/>
          <w:sz w:val="20"/>
        </w:rPr>
        <w:t>hyper</w:t>
      </w:r>
      <w:r>
        <w:rPr>
          <w:rFonts w:cs="Arial"/>
          <w:sz w:val="20"/>
        </w:rPr>
        <w:t>lipidemia</w:t>
      </w:r>
      <w:r w:rsidRPr="003860AD">
        <w:rPr>
          <w:rFonts w:cs="Arial"/>
          <w:sz w:val="20"/>
        </w:rPr>
        <w:t xml:space="preserve">, including </w:t>
      </w:r>
      <w:proofErr w:type="spellStart"/>
      <w:r w:rsidRPr="003860AD">
        <w:rPr>
          <w:rFonts w:cs="Arial"/>
          <w:sz w:val="20"/>
        </w:rPr>
        <w:t>HeFH</w:t>
      </w:r>
      <w:proofErr w:type="spellEnd"/>
      <w:r>
        <w:rPr>
          <w:rFonts w:cs="Arial"/>
          <w:sz w:val="20"/>
        </w:rPr>
        <w:t xml:space="preserve">, to reduce </w:t>
      </w:r>
      <w:r w:rsidRPr="003860AD">
        <w:rPr>
          <w:rFonts w:eastAsia="Arial"/>
          <w:sz w:val="20"/>
        </w:rPr>
        <w:t>LDL-C.</w:t>
      </w:r>
    </w:p>
    <w:p w14:paraId="5BE08EAF" w14:textId="77777777" w:rsidR="009741F4" w:rsidRDefault="009741F4" w:rsidP="009741F4"/>
    <w:p w14:paraId="50CEC86F" w14:textId="77777777" w:rsidR="009741F4" w:rsidRDefault="009741F4" w:rsidP="009741F4">
      <w:r>
        <w:t>Total program savings for the PDL classes will be regularly reviewed.</w:t>
      </w:r>
    </w:p>
    <w:p w14:paraId="28C79136" w14:textId="77777777" w:rsidR="009053EA" w:rsidRDefault="009053EA" w:rsidP="009053EA"/>
    <w:p w14:paraId="0B1A886E" w14:textId="77777777" w:rsidR="009053EA" w:rsidRPr="002C2C41" w:rsidRDefault="009053EA" w:rsidP="009053EA">
      <w:pPr>
        <w:rPr>
          <w:rFonts w:cs="Arial"/>
          <w:szCs w:val="20"/>
        </w:rPr>
      </w:pPr>
    </w:p>
    <w:p w14:paraId="13F0A633" w14:textId="77777777" w:rsidR="009053EA" w:rsidRPr="00A60136" w:rsidRDefault="009053EA" w:rsidP="009053EA">
      <w:pPr>
        <w:rPr>
          <w:b/>
          <w:bCs/>
        </w:rPr>
      </w:pPr>
      <w:r>
        <w:rPr>
          <w:b/>
          <w:bCs/>
        </w:rPr>
        <w:t>Preferred Agents:</w:t>
      </w:r>
    </w:p>
    <w:p w14:paraId="7EEB0A9D" w14:textId="7940E121" w:rsidR="0023529C" w:rsidRDefault="0023529C" w:rsidP="0023529C">
      <w:pPr>
        <w:pStyle w:val="ListParagraph"/>
      </w:pPr>
      <w:proofErr w:type="spellStart"/>
      <w:r>
        <w:t>Praluent</w:t>
      </w:r>
      <w:proofErr w:type="spellEnd"/>
    </w:p>
    <w:p w14:paraId="1A031289" w14:textId="7DE22307" w:rsidR="0023529C" w:rsidRDefault="0023529C" w:rsidP="0023529C">
      <w:pPr>
        <w:pStyle w:val="ListParagraph"/>
      </w:pPr>
      <w:r>
        <w:t>Repatha SureClick/Syringe (Amgen USA</w:t>
      </w:r>
      <w:r w:rsidR="1F042071">
        <w:t xml:space="preserve"> mft</w:t>
      </w:r>
      <w:r>
        <w:t>)</w:t>
      </w:r>
    </w:p>
    <w:p w14:paraId="1224BBE3" w14:textId="77777777" w:rsidR="009053EA" w:rsidRDefault="009053EA" w:rsidP="009053EA">
      <w:pPr>
        <w:rPr>
          <w:rFonts w:cs="Arial"/>
          <w:szCs w:val="20"/>
        </w:rPr>
      </w:pPr>
    </w:p>
    <w:p w14:paraId="2648A046" w14:textId="77777777" w:rsidR="009053EA" w:rsidRDefault="009053EA" w:rsidP="009053EA">
      <w:pPr>
        <w:rPr>
          <w:b/>
          <w:bCs/>
        </w:rPr>
      </w:pPr>
      <w:r>
        <w:rPr>
          <w:b/>
          <w:bCs/>
        </w:rPr>
        <w:t>Non-Preferred Agents:</w:t>
      </w:r>
    </w:p>
    <w:p w14:paraId="4A10F716" w14:textId="08AD1BC9" w:rsidR="00EE1E07" w:rsidRPr="00533CA8" w:rsidRDefault="00EE1E07" w:rsidP="00EE1E07">
      <w:pPr>
        <w:pStyle w:val="ListParagraph"/>
        <w:rPr>
          <w:iCs/>
          <w:spacing w:val="-3"/>
          <w:szCs w:val="20"/>
        </w:rPr>
      </w:pPr>
      <w:proofErr w:type="spellStart"/>
      <w:r w:rsidRPr="007013C1">
        <w:t>Leqvio</w:t>
      </w:r>
      <w:proofErr w:type="spellEnd"/>
    </w:p>
    <w:p w14:paraId="07E3EF12" w14:textId="02C018AA" w:rsidR="00EE1E07" w:rsidRPr="00EE1E07" w:rsidRDefault="00EE1E07" w:rsidP="00EE1E07">
      <w:pPr>
        <w:pStyle w:val="ListParagraph"/>
      </w:pPr>
      <w:r>
        <w:t>Repatha (Amgen</w:t>
      </w:r>
      <w:r w:rsidR="345D4F8E">
        <w:t xml:space="preserve"> mft</w:t>
      </w:r>
      <w:r>
        <w:t>)</w:t>
      </w:r>
    </w:p>
    <w:p w14:paraId="06C18494" w14:textId="620CE942" w:rsidR="00EE1E07" w:rsidRDefault="00637053" w:rsidP="009053EA">
      <w:pPr>
        <w:rPr>
          <w:b/>
          <w:bCs/>
        </w:rPr>
      </w:pPr>
      <w:r>
        <w:rPr>
          <w:b/>
          <w:bCs/>
        </w:rPr>
        <w:br w:type="page"/>
      </w:r>
    </w:p>
    <w:p w14:paraId="4B3968BB" w14:textId="77777777" w:rsidR="009053EA" w:rsidRPr="00C02553" w:rsidRDefault="009053EA" w:rsidP="009053EA">
      <w:pPr>
        <w:pStyle w:val="Heading1"/>
        <w:rPr>
          <w:lang w:val="en-US"/>
        </w:rPr>
      </w:pPr>
      <w:r w:rsidRPr="00C02553">
        <w:rPr>
          <w:lang w:val="en-US"/>
        </w:rPr>
        <w:lastRenderedPageBreak/>
        <w:t xml:space="preserve">Setting &amp; Population </w:t>
      </w:r>
    </w:p>
    <w:p w14:paraId="7473BCD3" w14:textId="77D145E9" w:rsidR="009053EA" w:rsidRPr="0079438F" w:rsidRDefault="009053EA" w:rsidP="009053EA">
      <w:pPr>
        <w:rPr>
          <w:b/>
        </w:rPr>
      </w:pPr>
      <w:r w:rsidRPr="00696E3A">
        <w:rPr>
          <w:b/>
          <w:bCs/>
        </w:rPr>
        <w:t>Drug class for review:</w:t>
      </w:r>
      <w:r w:rsidRPr="00C02553">
        <w:t xml:space="preserve"> </w:t>
      </w:r>
      <w:r w:rsidR="002E5745" w:rsidRPr="00E935B9">
        <w:t>Proprotein Convertase Subtilisin Kexin type 9 (PCSK9) Inhibitors</w:t>
      </w:r>
    </w:p>
    <w:p w14:paraId="171FE444" w14:textId="77777777" w:rsidR="009053EA" w:rsidRDefault="009053EA" w:rsidP="009053EA">
      <w:pPr>
        <w:rPr>
          <w:rFonts w:cs="Arial"/>
          <w:b/>
        </w:rPr>
      </w:pPr>
      <w:r w:rsidRPr="00696E3A">
        <w:rPr>
          <w:b/>
          <w:bCs/>
        </w:rPr>
        <w:t>Age range:</w:t>
      </w:r>
      <w:r w:rsidRPr="00C02553">
        <w:t xml:space="preserve"> </w:t>
      </w:r>
      <w:r w:rsidRPr="00551668">
        <w:rPr>
          <w:rFonts w:cs="Arial"/>
        </w:rPr>
        <w:t>All appropriate MO HealthNet participants</w:t>
      </w:r>
    </w:p>
    <w:p w14:paraId="3D84B0B0" w14:textId="77777777" w:rsidR="009053EA" w:rsidRPr="002C2C41" w:rsidRDefault="009053EA" w:rsidP="009053EA">
      <w:pPr>
        <w:rPr>
          <w:rFonts w:cs="Arial"/>
          <w:szCs w:val="20"/>
        </w:rPr>
      </w:pPr>
    </w:p>
    <w:p w14:paraId="267B1B51" w14:textId="77777777" w:rsidR="009053EA" w:rsidRPr="00C02553" w:rsidRDefault="009053EA" w:rsidP="009053EA">
      <w:pPr>
        <w:pStyle w:val="Heading1"/>
        <w:rPr>
          <w:lang w:val="en-US"/>
        </w:rPr>
      </w:pPr>
      <w:r w:rsidRPr="00C02553">
        <w:rPr>
          <w:lang w:val="en-US"/>
        </w:rPr>
        <w:t>Approval Criteria</w:t>
      </w:r>
    </w:p>
    <w:p w14:paraId="566455D2" w14:textId="77777777" w:rsidR="00D56ADB" w:rsidRDefault="00D56ADB" w:rsidP="00D56ADB">
      <w:pPr>
        <w:pStyle w:val="ListParagraph"/>
        <w:numPr>
          <w:ilvl w:val="0"/>
          <w:numId w:val="16"/>
        </w:numPr>
        <w:rPr>
          <w:rFonts w:cs="Arial"/>
          <w:bCs/>
          <w:szCs w:val="20"/>
        </w:rPr>
      </w:pPr>
      <w:r>
        <w:rPr>
          <w:rFonts w:cs="Arial"/>
          <w:bCs/>
          <w:szCs w:val="20"/>
        </w:rPr>
        <w:t xml:space="preserve">Must meet </w:t>
      </w:r>
      <w:proofErr w:type="gramStart"/>
      <w:r>
        <w:rPr>
          <w:rFonts w:cs="Arial"/>
          <w:bCs/>
          <w:szCs w:val="20"/>
        </w:rPr>
        <w:t>all of</w:t>
      </w:r>
      <w:proofErr w:type="gramEnd"/>
      <w:r>
        <w:rPr>
          <w:rFonts w:cs="Arial"/>
          <w:bCs/>
          <w:szCs w:val="20"/>
        </w:rPr>
        <w:t xml:space="preserve"> the following:</w:t>
      </w:r>
    </w:p>
    <w:p w14:paraId="623D41AA" w14:textId="77777777" w:rsidR="00D56ADB" w:rsidRPr="00EC03A6" w:rsidRDefault="00D56ADB" w:rsidP="00D56ADB">
      <w:pPr>
        <w:pStyle w:val="ListParagraph"/>
        <w:numPr>
          <w:ilvl w:val="1"/>
          <w:numId w:val="16"/>
        </w:numPr>
        <w:rPr>
          <w:rFonts w:cs="Arial"/>
          <w:bCs/>
          <w:szCs w:val="20"/>
        </w:rPr>
      </w:pPr>
      <w:r>
        <w:rPr>
          <w:rFonts w:cs="Arial"/>
          <w:bCs/>
          <w:szCs w:val="20"/>
        </w:rPr>
        <w:t>Documented d</w:t>
      </w:r>
      <w:r w:rsidRPr="00EC03A6">
        <w:rPr>
          <w:rFonts w:cs="Arial"/>
          <w:bCs/>
          <w:szCs w:val="20"/>
        </w:rPr>
        <w:t>iagno</w:t>
      </w:r>
      <w:r>
        <w:rPr>
          <w:rFonts w:cs="Arial"/>
          <w:bCs/>
          <w:szCs w:val="20"/>
        </w:rPr>
        <w:t xml:space="preserve">sis of hypercholesterolemia </w:t>
      </w:r>
      <w:r w:rsidRPr="00EC03A6">
        <w:rPr>
          <w:rFonts w:cs="Arial"/>
          <w:bCs/>
          <w:szCs w:val="20"/>
        </w:rPr>
        <w:t>or clinical atherosclerotic cardiovascular disease</w:t>
      </w:r>
      <w:r>
        <w:rPr>
          <w:rFonts w:cs="Arial"/>
          <w:bCs/>
          <w:szCs w:val="20"/>
        </w:rPr>
        <w:t xml:space="preserve"> in the past year</w:t>
      </w:r>
      <w:r>
        <w:rPr>
          <w:rFonts w:cs="Arial"/>
          <w:b/>
          <w:bCs/>
          <w:szCs w:val="20"/>
        </w:rPr>
        <w:t>;</w:t>
      </w:r>
    </w:p>
    <w:p w14:paraId="630CF192" w14:textId="77777777" w:rsidR="00D56ADB" w:rsidRPr="00EC03A6" w:rsidRDefault="00D56ADB" w:rsidP="00D56ADB">
      <w:pPr>
        <w:pStyle w:val="ListParagraph"/>
        <w:numPr>
          <w:ilvl w:val="1"/>
          <w:numId w:val="16"/>
        </w:numPr>
        <w:rPr>
          <w:rFonts w:cs="Arial"/>
          <w:bCs/>
          <w:szCs w:val="20"/>
        </w:rPr>
      </w:pPr>
      <w:r>
        <w:rPr>
          <w:rFonts w:cs="Arial"/>
          <w:bCs/>
          <w:szCs w:val="20"/>
        </w:rPr>
        <w:t xml:space="preserve">Documented compliance </w:t>
      </w:r>
      <w:r w:rsidRPr="00EC03A6">
        <w:rPr>
          <w:rFonts w:cs="Arial"/>
          <w:bCs/>
          <w:szCs w:val="20"/>
        </w:rPr>
        <w:t>on high dose statin</w:t>
      </w:r>
      <w:r>
        <w:rPr>
          <w:rFonts w:cs="Arial"/>
          <w:bCs/>
          <w:szCs w:val="20"/>
        </w:rPr>
        <w:t xml:space="preserve"> therapy (90/120 days) </w:t>
      </w:r>
      <w:r w:rsidRPr="00EC03A6">
        <w:rPr>
          <w:rFonts w:cs="Arial"/>
          <w:bCs/>
          <w:szCs w:val="20"/>
        </w:rPr>
        <w:t>or documentation of intolerance to statin therapy</w:t>
      </w:r>
      <w:r>
        <w:rPr>
          <w:rFonts w:cs="Arial"/>
          <w:b/>
          <w:bCs/>
          <w:szCs w:val="20"/>
        </w:rPr>
        <w:t>;</w:t>
      </w:r>
    </w:p>
    <w:p w14:paraId="029C4D94" w14:textId="77777777" w:rsidR="00D56ADB" w:rsidRPr="00710C35" w:rsidRDefault="00D56ADB" w:rsidP="00D56ADB">
      <w:pPr>
        <w:pStyle w:val="ListParagraph"/>
        <w:numPr>
          <w:ilvl w:val="1"/>
          <w:numId w:val="16"/>
        </w:numPr>
        <w:rPr>
          <w:rFonts w:cs="Arial"/>
          <w:bCs/>
          <w:szCs w:val="20"/>
        </w:rPr>
      </w:pPr>
      <w:r>
        <w:rPr>
          <w:rFonts w:cs="Arial"/>
          <w:bCs/>
          <w:szCs w:val="20"/>
        </w:rPr>
        <w:t>For initial therapy only: Documentation of c</w:t>
      </w:r>
      <w:r w:rsidRPr="00EC03A6">
        <w:rPr>
          <w:rFonts w:cs="Arial"/>
          <w:bCs/>
          <w:szCs w:val="20"/>
        </w:rPr>
        <w:t>urrent lipid pr</w:t>
      </w:r>
      <w:r>
        <w:rPr>
          <w:rFonts w:cs="Arial"/>
          <w:bCs/>
          <w:szCs w:val="20"/>
        </w:rPr>
        <w:t xml:space="preserve">ofile no less than 3 months old; </w:t>
      </w:r>
      <w:r w:rsidRPr="00CE2F65">
        <w:rPr>
          <w:rFonts w:cs="Arial"/>
          <w:b/>
          <w:bCs/>
          <w:szCs w:val="20"/>
        </w:rPr>
        <w:t>AND</w:t>
      </w:r>
    </w:p>
    <w:p w14:paraId="4158CA95" w14:textId="77777777" w:rsidR="00D56ADB" w:rsidRPr="00710C35" w:rsidRDefault="00D56ADB" w:rsidP="00D56ADB">
      <w:pPr>
        <w:pStyle w:val="ListParagraph"/>
        <w:numPr>
          <w:ilvl w:val="1"/>
          <w:numId w:val="16"/>
        </w:numPr>
        <w:rPr>
          <w:rFonts w:cs="Arial"/>
          <w:bCs/>
          <w:szCs w:val="20"/>
        </w:rPr>
      </w:pPr>
      <w:r>
        <w:rPr>
          <w:rFonts w:cs="Arial"/>
          <w:szCs w:val="20"/>
        </w:rPr>
        <w:t>Must meet one of the following:</w:t>
      </w:r>
    </w:p>
    <w:p w14:paraId="0660893B" w14:textId="77777777" w:rsidR="00D56ADB" w:rsidRPr="00CE2F65" w:rsidRDefault="00D56ADB" w:rsidP="00D56ADB">
      <w:pPr>
        <w:pStyle w:val="ListParagraph"/>
        <w:numPr>
          <w:ilvl w:val="2"/>
          <w:numId w:val="16"/>
        </w:numPr>
        <w:ind w:left="1080"/>
        <w:rPr>
          <w:rFonts w:cs="Arial"/>
          <w:bCs/>
          <w:szCs w:val="20"/>
        </w:rPr>
      </w:pPr>
      <w:r>
        <w:rPr>
          <w:rFonts w:cs="Arial"/>
          <w:szCs w:val="20"/>
        </w:rPr>
        <w:t xml:space="preserve">Claim is for a preferred agent; </w:t>
      </w:r>
      <w:r>
        <w:rPr>
          <w:rFonts w:cs="Arial"/>
          <w:b/>
          <w:bCs/>
          <w:szCs w:val="20"/>
        </w:rPr>
        <w:t>OR</w:t>
      </w:r>
    </w:p>
    <w:p w14:paraId="407D5168" w14:textId="77777777" w:rsidR="00D56ADB" w:rsidRPr="00C44E5E" w:rsidRDefault="00D56ADB" w:rsidP="00D56ADB">
      <w:pPr>
        <w:pStyle w:val="ListParagraph"/>
        <w:numPr>
          <w:ilvl w:val="2"/>
          <w:numId w:val="16"/>
        </w:numPr>
        <w:ind w:left="1080"/>
        <w:rPr>
          <w:rFonts w:cs="Arial"/>
          <w:bCs/>
          <w:szCs w:val="20"/>
        </w:rPr>
      </w:pPr>
      <w:r w:rsidRPr="00C44E5E">
        <w:rPr>
          <w:rFonts w:cs="Arial"/>
          <w:bCs/>
          <w:szCs w:val="20"/>
        </w:rPr>
        <w:t xml:space="preserve">Failure to achieve desired therapeutic outcomes with trial </w:t>
      </w:r>
      <w:r w:rsidRPr="006947C8">
        <w:rPr>
          <w:rFonts w:cs="Arial"/>
          <w:bCs/>
          <w:szCs w:val="20"/>
        </w:rPr>
        <w:t xml:space="preserve">on 2 </w:t>
      </w:r>
      <w:r w:rsidRPr="00E346C9">
        <w:rPr>
          <w:rFonts w:cs="Arial"/>
          <w:bCs/>
          <w:szCs w:val="20"/>
        </w:rPr>
        <w:t xml:space="preserve">or more </w:t>
      </w:r>
      <w:r w:rsidRPr="00C44E5E">
        <w:rPr>
          <w:rFonts w:cs="Arial"/>
          <w:bCs/>
          <w:szCs w:val="20"/>
        </w:rPr>
        <w:t>preferred agents:</w:t>
      </w:r>
    </w:p>
    <w:p w14:paraId="22A8ECBB" w14:textId="77777777" w:rsidR="00D56ADB" w:rsidRPr="00C44E5E" w:rsidRDefault="00D56ADB" w:rsidP="00D56ADB">
      <w:pPr>
        <w:pStyle w:val="ListParagraph"/>
        <w:numPr>
          <w:ilvl w:val="3"/>
          <w:numId w:val="16"/>
        </w:numPr>
        <w:ind w:left="1440"/>
        <w:rPr>
          <w:rFonts w:cs="Arial"/>
          <w:bCs/>
          <w:szCs w:val="20"/>
        </w:rPr>
      </w:pPr>
      <w:r w:rsidRPr="00C44E5E">
        <w:rPr>
          <w:rFonts w:cs="Arial"/>
          <w:bCs/>
          <w:szCs w:val="20"/>
        </w:rPr>
        <w:t>Documented trial period for preferred agents</w:t>
      </w:r>
      <w:r>
        <w:rPr>
          <w:rFonts w:cs="Arial"/>
          <w:bCs/>
          <w:szCs w:val="20"/>
        </w:rPr>
        <w:t>;</w:t>
      </w:r>
      <w:r w:rsidRPr="00C44E5E">
        <w:rPr>
          <w:rFonts w:cs="Arial"/>
          <w:bCs/>
          <w:szCs w:val="20"/>
        </w:rPr>
        <w:t xml:space="preserve"> </w:t>
      </w:r>
      <w:r w:rsidRPr="00D26272">
        <w:rPr>
          <w:rFonts w:cs="Arial"/>
          <w:b/>
          <w:szCs w:val="20"/>
        </w:rPr>
        <w:t>OR</w:t>
      </w:r>
    </w:p>
    <w:p w14:paraId="458E95A1" w14:textId="77777777" w:rsidR="00D56ADB" w:rsidRDefault="00D56ADB" w:rsidP="00D56ADB">
      <w:pPr>
        <w:pStyle w:val="ListParagraph"/>
        <w:numPr>
          <w:ilvl w:val="3"/>
          <w:numId w:val="16"/>
        </w:numPr>
        <w:ind w:left="1440"/>
        <w:rPr>
          <w:rFonts w:cs="Arial"/>
          <w:bCs/>
          <w:szCs w:val="20"/>
        </w:rPr>
      </w:pPr>
      <w:r w:rsidRPr="00C44E5E">
        <w:rPr>
          <w:rFonts w:cs="Arial"/>
          <w:bCs/>
          <w:szCs w:val="20"/>
        </w:rPr>
        <w:t>Documented ADE/ADR to preferred agents</w:t>
      </w:r>
      <w:r>
        <w:rPr>
          <w:rFonts w:cs="Arial"/>
          <w:bCs/>
          <w:szCs w:val="20"/>
        </w:rPr>
        <w:t>.</w:t>
      </w:r>
      <w:r w:rsidRPr="00C44E5E">
        <w:rPr>
          <w:rFonts w:cs="Arial"/>
          <w:bCs/>
          <w:szCs w:val="20"/>
        </w:rPr>
        <w:t xml:space="preserve"> </w:t>
      </w:r>
    </w:p>
    <w:p w14:paraId="5BD3C1EC" w14:textId="77777777" w:rsidR="009053EA" w:rsidRPr="002C2C41" w:rsidRDefault="009053EA" w:rsidP="009053EA">
      <w:pPr>
        <w:rPr>
          <w:rFonts w:cs="Arial"/>
          <w:szCs w:val="20"/>
        </w:rPr>
      </w:pPr>
    </w:p>
    <w:p w14:paraId="65C37038" w14:textId="77777777" w:rsidR="009053EA" w:rsidRPr="00C02553" w:rsidRDefault="009053EA" w:rsidP="009053EA">
      <w:pPr>
        <w:pStyle w:val="Heading1"/>
        <w:rPr>
          <w:lang w:val="en-US"/>
        </w:rPr>
      </w:pPr>
      <w:r w:rsidRPr="00C02553">
        <w:rPr>
          <w:lang w:val="en-US"/>
        </w:rPr>
        <w:t>Denial Criteria</w:t>
      </w:r>
    </w:p>
    <w:p w14:paraId="4A315663" w14:textId="77777777" w:rsidR="008A5673" w:rsidRDefault="008A5673" w:rsidP="008A5673">
      <w:pPr>
        <w:pStyle w:val="paragraph"/>
        <w:numPr>
          <w:ilvl w:val="0"/>
          <w:numId w:val="17"/>
        </w:numPr>
        <w:spacing w:before="0" w:beforeAutospacing="0" w:after="0" w:afterAutospacing="0"/>
        <w:textAlignment w:val="baseline"/>
        <w:rPr>
          <w:rStyle w:val="eop"/>
          <w:rFonts w:cs="Arial"/>
          <w:szCs w:val="20"/>
        </w:rPr>
      </w:pPr>
      <w:r>
        <w:rPr>
          <w:rStyle w:val="normaltextrun"/>
          <w:rFonts w:cs="Arial"/>
          <w:szCs w:val="20"/>
        </w:rPr>
        <w:t xml:space="preserve">Therapy will deny </w:t>
      </w:r>
      <w:proofErr w:type="gramStart"/>
      <w:r>
        <w:rPr>
          <w:rStyle w:val="normaltextrun"/>
          <w:rFonts w:cs="Arial"/>
          <w:szCs w:val="20"/>
        </w:rPr>
        <w:t>with</w:t>
      </w:r>
      <w:proofErr w:type="gramEnd"/>
      <w:r>
        <w:rPr>
          <w:rStyle w:val="normaltextrun"/>
          <w:rFonts w:cs="Arial"/>
          <w:szCs w:val="20"/>
        </w:rPr>
        <w:t xml:space="preserve"> presence of one of the following:</w:t>
      </w:r>
      <w:r>
        <w:rPr>
          <w:rStyle w:val="eop"/>
          <w:rFonts w:cs="Arial"/>
          <w:szCs w:val="20"/>
        </w:rPr>
        <w:t> </w:t>
      </w:r>
    </w:p>
    <w:p w14:paraId="61CBF598" w14:textId="77777777" w:rsidR="008A5673" w:rsidRDefault="008A5673" w:rsidP="007A08F3">
      <w:pPr>
        <w:pStyle w:val="paragraph"/>
        <w:numPr>
          <w:ilvl w:val="1"/>
          <w:numId w:val="17"/>
        </w:numPr>
        <w:spacing w:before="0" w:beforeAutospacing="0" w:after="0" w:afterAutospacing="0"/>
        <w:textAlignment w:val="baseline"/>
        <w:rPr>
          <w:rStyle w:val="normaltextrun"/>
          <w:rFonts w:cs="Arial"/>
          <w:szCs w:val="20"/>
        </w:rPr>
      </w:pPr>
      <w:proofErr w:type="gramStart"/>
      <w:r w:rsidRPr="002E2F68">
        <w:rPr>
          <w:rStyle w:val="normaltextrun"/>
          <w:rFonts w:cs="Arial"/>
          <w:szCs w:val="20"/>
        </w:rPr>
        <w:t>Any</w:t>
      </w:r>
      <w:proofErr w:type="gramEnd"/>
      <w:r w:rsidRPr="002E2F68">
        <w:rPr>
          <w:rStyle w:val="normaltextrun"/>
          <w:rFonts w:cs="Arial"/>
          <w:szCs w:val="20"/>
        </w:rPr>
        <w:t xml:space="preserve"> approval criteria </w:t>
      </w:r>
      <w:proofErr w:type="gramStart"/>
      <w:r w:rsidRPr="002E2F68">
        <w:rPr>
          <w:rStyle w:val="normaltextrun"/>
          <w:rFonts w:cs="Arial"/>
          <w:szCs w:val="20"/>
        </w:rPr>
        <w:t>are not</w:t>
      </w:r>
      <w:proofErr w:type="gramEnd"/>
      <w:r w:rsidRPr="002E2F68">
        <w:rPr>
          <w:rStyle w:val="normaltextrun"/>
          <w:rFonts w:cs="Arial"/>
          <w:szCs w:val="20"/>
        </w:rPr>
        <w:t xml:space="preserve"> met</w:t>
      </w:r>
      <w:r>
        <w:rPr>
          <w:rStyle w:val="normaltextrun"/>
          <w:rFonts w:cs="Arial"/>
          <w:szCs w:val="20"/>
        </w:rPr>
        <w:t>.</w:t>
      </w:r>
    </w:p>
    <w:p w14:paraId="15B50D5B" w14:textId="77777777" w:rsidR="009053EA" w:rsidRPr="002C2C41" w:rsidRDefault="009053EA" w:rsidP="009053EA">
      <w:pPr>
        <w:pStyle w:val="ListParagraph"/>
        <w:numPr>
          <w:ilvl w:val="0"/>
          <w:numId w:val="0"/>
        </w:numPr>
        <w:ind w:left="360"/>
        <w:rPr>
          <w:rFonts w:cs="Arial"/>
          <w:szCs w:val="22"/>
        </w:rPr>
      </w:pPr>
    </w:p>
    <w:p w14:paraId="5DCE1CF2" w14:textId="77777777" w:rsidR="009053EA" w:rsidRPr="00C02553" w:rsidRDefault="009053EA" w:rsidP="009053EA">
      <w:pPr>
        <w:pStyle w:val="Heading1"/>
        <w:rPr>
          <w:lang w:val="en-US"/>
        </w:rPr>
      </w:pPr>
      <w:r w:rsidRPr="00C02553">
        <w:rPr>
          <w:lang w:val="en-US"/>
        </w:rPr>
        <w:t>Disposition of Edit</w:t>
      </w:r>
    </w:p>
    <w:p w14:paraId="4739554B" w14:textId="77777777" w:rsidR="009053EA" w:rsidRPr="00C02553" w:rsidRDefault="009053EA" w:rsidP="009053EA">
      <w:r w:rsidRPr="00696E3A">
        <w:rPr>
          <w:b/>
          <w:bCs/>
        </w:rPr>
        <w:t>Denial:</w:t>
      </w:r>
      <w:r w:rsidRPr="00C02553">
        <w:t xml:space="preserve"> </w:t>
      </w:r>
      <w:r w:rsidRPr="00973BD6">
        <w:t>Exception Code “0</w:t>
      </w:r>
      <w:r>
        <w:t>160</w:t>
      </w:r>
      <w:r w:rsidRPr="00973BD6">
        <w:t>” (</w:t>
      </w:r>
      <w:r>
        <w:t>Preferred Drug List</w:t>
      </w:r>
      <w:r w:rsidRPr="00973BD6">
        <w:t>)</w:t>
      </w:r>
    </w:p>
    <w:p w14:paraId="7D89EEDE" w14:textId="77777777" w:rsidR="009053EA" w:rsidRPr="00C02553" w:rsidRDefault="009053EA" w:rsidP="009053EA">
      <w:r w:rsidRPr="00696E3A">
        <w:rPr>
          <w:b/>
          <w:bCs/>
        </w:rPr>
        <w:t>Rule Type:</w:t>
      </w:r>
      <w:r w:rsidRPr="00C02553">
        <w:t xml:space="preserve"> </w:t>
      </w:r>
      <w:r>
        <w:t>PDL</w:t>
      </w:r>
    </w:p>
    <w:p w14:paraId="2F9DA593" w14:textId="77777777" w:rsidR="009053EA" w:rsidRPr="00C02553" w:rsidRDefault="009053EA" w:rsidP="009053EA">
      <w:r w:rsidRPr="00696E3A">
        <w:rPr>
          <w:b/>
          <w:bCs/>
        </w:rPr>
        <w:t>Default Approval Period:</w:t>
      </w:r>
      <w:r>
        <w:t xml:space="preserve"> 1 year</w:t>
      </w:r>
    </w:p>
    <w:p w14:paraId="4DE5B3AC" w14:textId="77777777" w:rsidR="009053EA" w:rsidRPr="002C2C41" w:rsidRDefault="009053EA" w:rsidP="009053EA">
      <w:pPr>
        <w:rPr>
          <w:rFonts w:cs="Arial"/>
          <w:szCs w:val="20"/>
        </w:rPr>
      </w:pPr>
    </w:p>
    <w:p w14:paraId="002A9AF7" w14:textId="77777777" w:rsidR="009053EA" w:rsidRDefault="009053EA" w:rsidP="009053EA">
      <w:pPr>
        <w:pStyle w:val="Heading1"/>
        <w:rPr>
          <w:lang w:val="en-US"/>
        </w:rPr>
      </w:pPr>
      <w:r w:rsidRPr="00C02553">
        <w:rPr>
          <w:lang w:val="en-US"/>
        </w:rPr>
        <w:t>References</w:t>
      </w:r>
    </w:p>
    <w:p w14:paraId="36A44729" w14:textId="77777777" w:rsidR="004E094A" w:rsidRPr="004E094A" w:rsidRDefault="004E094A" w:rsidP="004E094A"/>
    <w:p w14:paraId="70BB394B" w14:textId="7A3F08A8" w:rsidR="003F00F4" w:rsidRPr="00581ACC" w:rsidRDefault="003F00F4" w:rsidP="003F00F4">
      <w:pPr>
        <w:pStyle w:val="ListParagraph"/>
      </w:pPr>
      <w:r w:rsidRPr="00AF1972">
        <w:t>Evidence-Based Medicine Analysis: “</w:t>
      </w:r>
      <w:r>
        <w:t xml:space="preserve">PCSK9 Inhibitors”, UMKC-DIC; </w:t>
      </w:r>
      <w:r w:rsidR="00371B03">
        <w:t xml:space="preserve">August </w:t>
      </w:r>
      <w:r>
        <w:t>202</w:t>
      </w:r>
      <w:r w:rsidR="00371B03">
        <w:t>6</w:t>
      </w:r>
      <w:r w:rsidRPr="00AF1972">
        <w:t>.</w:t>
      </w:r>
    </w:p>
    <w:p w14:paraId="5991E243" w14:textId="163144EE" w:rsidR="003F00F4" w:rsidRPr="001B1EA2" w:rsidRDefault="003F00F4" w:rsidP="003F00F4">
      <w:pPr>
        <w:pStyle w:val="ListParagraph"/>
      </w:pPr>
      <w:r w:rsidRPr="001B1EA2">
        <w:t>Evidence-Based Medicine and Fiscal Analysis: “</w:t>
      </w:r>
      <w:r w:rsidRPr="00885426">
        <w:t xml:space="preserve">CARDIOVASCULAR: </w:t>
      </w:r>
      <w:proofErr w:type="spellStart"/>
      <w:r w:rsidRPr="00885426">
        <w:t>Lipotropics</w:t>
      </w:r>
      <w:proofErr w:type="spellEnd"/>
      <w:r w:rsidRPr="00885426">
        <w:t>, PCSK9 Inhibitors</w:t>
      </w:r>
      <w:r w:rsidRPr="001B1EA2">
        <w:t xml:space="preserve">”, Gainwell Technologies; Last updated </w:t>
      </w:r>
      <w:r>
        <w:t xml:space="preserve">July </w:t>
      </w:r>
      <w:r w:rsidR="00DA709C">
        <w:t xml:space="preserve">3, </w:t>
      </w:r>
      <w:r>
        <w:t>202</w:t>
      </w:r>
      <w:r w:rsidR="00DA709C">
        <w:t>6</w:t>
      </w:r>
      <w:r w:rsidRPr="001B1EA2">
        <w:t>.</w:t>
      </w:r>
    </w:p>
    <w:p w14:paraId="04F150B0" w14:textId="52B1076F" w:rsidR="001D65D1" w:rsidRPr="00F54F69" w:rsidRDefault="001D65D1" w:rsidP="003F00F4">
      <w:pPr>
        <w:pStyle w:val="ListParagraph"/>
      </w:pPr>
      <w:r>
        <w:t>Blumenthal RS, Morris PB, Gaudino M, et al. 202</w:t>
      </w:r>
      <w:r w:rsidR="00F54F69">
        <w:t xml:space="preserve">6 </w:t>
      </w:r>
      <w:r>
        <w:t>ACC/AHA/AACVPR/ABC/ACPM/ADA/AGS/</w:t>
      </w:r>
      <w:proofErr w:type="spellStart"/>
      <w:r>
        <w:t>APhA</w:t>
      </w:r>
      <w:proofErr w:type="spellEnd"/>
      <w:r>
        <w:t xml:space="preserve">/ASPC/NLA/PCNA Guideline on the Management of Dyslipidemia. J Am Coll </w:t>
      </w:r>
      <w:proofErr w:type="spellStart"/>
      <w:r>
        <w:t>Cardiol</w:t>
      </w:r>
      <w:proofErr w:type="spellEnd"/>
      <w:r>
        <w:t xml:space="preserve">. 2026 Mar 13. </w:t>
      </w:r>
      <w:proofErr w:type="gramStart"/>
      <w:r>
        <w:t>doi:10.1016/j.jacc</w:t>
      </w:r>
      <w:proofErr w:type="gramEnd"/>
      <w:r>
        <w:t xml:space="preserve">.2025.11.016. </w:t>
      </w:r>
    </w:p>
    <w:p w14:paraId="67881692" w14:textId="77777777" w:rsidR="008B24DF" w:rsidRDefault="008B24DF" w:rsidP="003F00F4">
      <w:pPr>
        <w:pStyle w:val="ListParagraph"/>
      </w:pPr>
      <w:r>
        <w:t xml:space="preserve">Patel SB, et al. American Association of Clinical Endocrinology Clinical Practice Guideline on Pharmacologic Management of Adults </w:t>
      </w:r>
      <w:proofErr w:type="gramStart"/>
      <w:r>
        <w:t>With</w:t>
      </w:r>
      <w:proofErr w:type="gramEnd"/>
      <w:r>
        <w:t xml:space="preserve"> Dyslipidemia. AACE Endocrine Practice 2025; (</w:t>
      </w:r>
      <w:proofErr w:type="gramStart"/>
      <w:r>
        <w:t>31)2:236</w:t>
      </w:r>
      <w:proofErr w:type="gramEnd"/>
      <w:r>
        <w:t xml:space="preserve">-262. </w:t>
      </w:r>
    </w:p>
    <w:p w14:paraId="7A1C8DF0" w14:textId="679DEB6A" w:rsidR="003F00F4" w:rsidRDefault="003F00F4" w:rsidP="003F00F4">
      <w:pPr>
        <w:pStyle w:val="ListParagraph"/>
      </w:pPr>
      <w:proofErr w:type="spellStart"/>
      <w:r>
        <w:t>Leqvio</w:t>
      </w:r>
      <w:proofErr w:type="spellEnd"/>
      <w:r>
        <w:t xml:space="preserve"> </w:t>
      </w:r>
      <w:r w:rsidRPr="00EC03A6">
        <w:t>[</w:t>
      </w:r>
      <w:r>
        <w:t>package insert</w:t>
      </w:r>
      <w:r w:rsidRPr="00EC03A6">
        <w:t>]</w:t>
      </w:r>
      <w:r>
        <w:t xml:space="preserve">. East Hanover, NJ: Novartis Pharmaceuticals Corporation. </w:t>
      </w:r>
      <w:r w:rsidR="00A46554">
        <w:t>February</w:t>
      </w:r>
      <w:r>
        <w:t xml:space="preserve"> 202</w:t>
      </w:r>
      <w:r w:rsidR="00A46554">
        <w:t>6</w:t>
      </w:r>
      <w:r>
        <w:t>.</w:t>
      </w:r>
    </w:p>
    <w:p w14:paraId="347E1C16" w14:textId="77777777" w:rsidR="003F00F4" w:rsidRPr="00EC03A6" w:rsidRDefault="003F00F4" w:rsidP="003F00F4">
      <w:pPr>
        <w:pStyle w:val="ListParagraph"/>
      </w:pPr>
      <w:proofErr w:type="spellStart"/>
      <w:r w:rsidRPr="00EC03A6">
        <w:t>Praluent</w:t>
      </w:r>
      <w:proofErr w:type="spellEnd"/>
      <w:r w:rsidRPr="00EC03A6">
        <w:t xml:space="preserve"> [</w:t>
      </w:r>
      <w:r>
        <w:t>package insert</w:t>
      </w:r>
      <w:r w:rsidRPr="00EC03A6">
        <w:t>]</w:t>
      </w:r>
      <w:r>
        <w:t>.</w:t>
      </w:r>
      <w:r w:rsidRPr="00EC03A6">
        <w:t xml:space="preserve"> </w:t>
      </w:r>
      <w:r>
        <w:t>Tarrytown, NY</w:t>
      </w:r>
      <w:r w:rsidRPr="00EC03A6">
        <w:t xml:space="preserve">: </w:t>
      </w:r>
      <w:r>
        <w:t>Regeneron Pharmaceuticals, Inc.</w:t>
      </w:r>
      <w:r w:rsidRPr="00EC03A6">
        <w:t xml:space="preserve">; </w:t>
      </w:r>
      <w:r>
        <w:t>March 2024</w:t>
      </w:r>
      <w:r w:rsidRPr="00EC03A6">
        <w:t>.</w:t>
      </w:r>
    </w:p>
    <w:p w14:paraId="65084C96" w14:textId="47ABF920" w:rsidR="003F00F4" w:rsidRDefault="003F00F4" w:rsidP="003F00F4">
      <w:pPr>
        <w:pStyle w:val="ListParagraph"/>
      </w:pPr>
      <w:r w:rsidRPr="00EC03A6">
        <w:rPr>
          <w:noProof/>
        </w:rPr>
        <w:t>Repatha</w:t>
      </w:r>
      <w:r w:rsidRPr="00EC03A6">
        <w:t xml:space="preserve"> [</w:t>
      </w:r>
      <w:r>
        <w:t>package insert</w:t>
      </w:r>
      <w:r w:rsidRPr="00EC03A6">
        <w:t xml:space="preserve">]. Thousand Oaks, CA: Amgen, </w:t>
      </w:r>
      <w:r w:rsidR="001410A2">
        <w:t>July</w:t>
      </w:r>
      <w:r>
        <w:t xml:space="preserve"> 202</w:t>
      </w:r>
      <w:r w:rsidR="001410A2">
        <w:t>6</w:t>
      </w:r>
      <w:r w:rsidRPr="00EC03A6">
        <w:t xml:space="preserve">. </w:t>
      </w:r>
    </w:p>
    <w:p w14:paraId="0A6EF31B" w14:textId="54488BAE" w:rsidR="003F00F4" w:rsidRPr="007229E1" w:rsidRDefault="003F00F4" w:rsidP="003F00F4">
      <w:pPr>
        <w:pStyle w:val="ListParagraph"/>
      </w:pPr>
      <w:r w:rsidRPr="007229E1">
        <w:t>USPDI, Micromedex; 202</w:t>
      </w:r>
      <w:r w:rsidR="00AB57C3">
        <w:t>6</w:t>
      </w:r>
      <w:r w:rsidRPr="007229E1">
        <w:t xml:space="preserve">. </w:t>
      </w:r>
    </w:p>
    <w:p w14:paraId="5D7119C4" w14:textId="10D6B130" w:rsidR="003F00F4" w:rsidRDefault="003F00F4" w:rsidP="003F00F4">
      <w:pPr>
        <w:pStyle w:val="ListParagraph"/>
      </w:pPr>
      <w:r w:rsidRPr="007229E1">
        <w:t xml:space="preserve">Facts and Comparisons </w:t>
      </w:r>
      <w:proofErr w:type="spellStart"/>
      <w:r w:rsidRPr="007229E1">
        <w:t>eAnswers</w:t>
      </w:r>
      <w:proofErr w:type="spellEnd"/>
      <w:r w:rsidRPr="007229E1">
        <w:t xml:space="preserve"> (online); 202</w:t>
      </w:r>
      <w:r w:rsidR="00AB57C3">
        <w:t>6</w:t>
      </w:r>
      <w:r w:rsidRPr="007229E1">
        <w:t xml:space="preserve"> Clinical Drug Information, LLC</w:t>
      </w:r>
      <w:r>
        <w:t>.</w:t>
      </w:r>
    </w:p>
    <w:p w14:paraId="63CA5ADC" w14:textId="77777777" w:rsidR="009053EA" w:rsidRDefault="009053EA" w:rsidP="009053EA"/>
    <w:sectPr w:rsidR="009053EA"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00DF6" w14:textId="77777777" w:rsidR="006B6F88" w:rsidRPr="00C02553" w:rsidRDefault="006B6F88" w:rsidP="00AE77DB">
      <w:r w:rsidRPr="00C02553">
        <w:separator/>
      </w:r>
    </w:p>
  </w:endnote>
  <w:endnote w:type="continuationSeparator" w:id="0">
    <w:p w14:paraId="3FC220F8" w14:textId="77777777" w:rsidR="006B6F88" w:rsidRPr="00C02553" w:rsidRDefault="006B6F88" w:rsidP="00AE77DB">
      <w:r w:rsidRPr="00C02553">
        <w:continuationSeparator/>
      </w:r>
    </w:p>
  </w:endnote>
  <w:endnote w:type="continuationNotice" w:id="1">
    <w:p w14:paraId="28DEC4C0" w14:textId="77777777" w:rsidR="006B6F88" w:rsidRPr="00C02553" w:rsidRDefault="006B6F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E13B1" w14:textId="77777777" w:rsidR="006B6F88" w:rsidRPr="00C02553" w:rsidRDefault="006B6F88" w:rsidP="00AE77DB">
      <w:r w:rsidRPr="00C02553">
        <w:separator/>
      </w:r>
    </w:p>
  </w:footnote>
  <w:footnote w:type="continuationSeparator" w:id="0">
    <w:p w14:paraId="0842A5C0" w14:textId="77777777" w:rsidR="006B6F88" w:rsidRPr="00C02553" w:rsidRDefault="006B6F88" w:rsidP="00AE77DB">
      <w:r w:rsidRPr="00C02553">
        <w:continuationSeparator/>
      </w:r>
    </w:p>
  </w:footnote>
  <w:footnote w:type="continuationNotice" w:id="1">
    <w:p w14:paraId="6A723990" w14:textId="77777777" w:rsidR="006B6F88" w:rsidRPr="00C02553" w:rsidRDefault="006B6F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6B6F88">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6B6F88">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6B6F88">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AC90D67"/>
    <w:multiLevelType w:val="hybridMultilevel"/>
    <w:tmpl w:val="CF86E506"/>
    <w:lvl w:ilvl="0" w:tplc="C6B8285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1">
      <w:start w:val="1"/>
      <w:numFmt w:val="bullet"/>
      <w:lvlText w:val=""/>
      <w:lvlJc w:val="left"/>
      <w:pPr>
        <w:ind w:left="153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5"/>
  </w:num>
  <w:num w:numId="3" w16cid:durableId="1729067566">
    <w:abstractNumId w:val="4"/>
  </w:num>
  <w:num w:numId="4" w16cid:durableId="320159068">
    <w:abstractNumId w:val="8"/>
  </w:num>
  <w:num w:numId="5" w16cid:durableId="1769498754">
    <w:abstractNumId w:val="3"/>
  </w:num>
  <w:num w:numId="6" w16cid:durableId="1094596320">
    <w:abstractNumId w:val="13"/>
  </w:num>
  <w:num w:numId="7" w16cid:durableId="2110008555">
    <w:abstractNumId w:val="2"/>
  </w:num>
  <w:num w:numId="8" w16cid:durableId="489712751">
    <w:abstractNumId w:val="7"/>
  </w:num>
  <w:num w:numId="9" w16cid:durableId="1085147965">
    <w:abstractNumId w:val="10"/>
  </w:num>
  <w:num w:numId="10" w16cid:durableId="917518096">
    <w:abstractNumId w:val="9"/>
  </w:num>
  <w:num w:numId="11" w16cid:durableId="1894998475">
    <w:abstractNumId w:val="1"/>
  </w:num>
  <w:num w:numId="12" w16cid:durableId="1418215296">
    <w:abstractNumId w:val="14"/>
  </w:num>
  <w:num w:numId="13" w16cid:durableId="604729665">
    <w:abstractNumId w:val="5"/>
  </w:num>
  <w:num w:numId="14" w16cid:durableId="1805081292">
    <w:abstractNumId w:val="11"/>
  </w:num>
  <w:num w:numId="15" w16cid:durableId="1911186802">
    <w:abstractNumId w:val="6"/>
  </w:num>
  <w:num w:numId="16" w16cid:durableId="1605114674">
    <w:abstractNumId w:val="12"/>
  </w:num>
  <w:num w:numId="17" w16cid:durableId="1760710007">
    <w:abstractNumId w:val="16"/>
  </w:num>
  <w:num w:numId="18" w16cid:durableId="1681464560">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Rke1H7CFoEiSKWpsXL9BCVM3YqDL1l3DSxemu2eQqSsgT+ctRv7tLc7S2Fo+flozNkuV9vZ6VVNfYKVzeHshQ==" w:salt="vLHjTd2npo2goCG/ctoDzw=="/>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44C5"/>
    <w:rsid w:val="00040AD3"/>
    <w:rsid w:val="00053807"/>
    <w:rsid w:val="000572E5"/>
    <w:rsid w:val="00061541"/>
    <w:rsid w:val="00064162"/>
    <w:rsid w:val="00065C22"/>
    <w:rsid w:val="00074464"/>
    <w:rsid w:val="00076030"/>
    <w:rsid w:val="00082590"/>
    <w:rsid w:val="000913C3"/>
    <w:rsid w:val="000953B9"/>
    <w:rsid w:val="000A2D17"/>
    <w:rsid w:val="000A413B"/>
    <w:rsid w:val="000A6279"/>
    <w:rsid w:val="000B496B"/>
    <w:rsid w:val="000C3940"/>
    <w:rsid w:val="000C5992"/>
    <w:rsid w:val="000E1479"/>
    <w:rsid w:val="000E231E"/>
    <w:rsid w:val="000E247D"/>
    <w:rsid w:val="000E6B14"/>
    <w:rsid w:val="000E70D8"/>
    <w:rsid w:val="001062F6"/>
    <w:rsid w:val="00112FC7"/>
    <w:rsid w:val="00123149"/>
    <w:rsid w:val="00125F5F"/>
    <w:rsid w:val="00126951"/>
    <w:rsid w:val="00126B60"/>
    <w:rsid w:val="00127EF6"/>
    <w:rsid w:val="001310AD"/>
    <w:rsid w:val="001314A5"/>
    <w:rsid w:val="00132C7F"/>
    <w:rsid w:val="001410A2"/>
    <w:rsid w:val="00143A11"/>
    <w:rsid w:val="00144DBE"/>
    <w:rsid w:val="00152C8B"/>
    <w:rsid w:val="0015636A"/>
    <w:rsid w:val="00172053"/>
    <w:rsid w:val="00177A80"/>
    <w:rsid w:val="001808B8"/>
    <w:rsid w:val="001A12EE"/>
    <w:rsid w:val="001A50CB"/>
    <w:rsid w:val="001A74B7"/>
    <w:rsid w:val="001B2D47"/>
    <w:rsid w:val="001B5F66"/>
    <w:rsid w:val="001C0250"/>
    <w:rsid w:val="001C6DA4"/>
    <w:rsid w:val="001C73B1"/>
    <w:rsid w:val="001D1E7D"/>
    <w:rsid w:val="001D6567"/>
    <w:rsid w:val="001D65D1"/>
    <w:rsid w:val="001E2CCB"/>
    <w:rsid w:val="001E4CBA"/>
    <w:rsid w:val="001E523C"/>
    <w:rsid w:val="001E61DF"/>
    <w:rsid w:val="001F2B9F"/>
    <w:rsid w:val="001F3A35"/>
    <w:rsid w:val="001F5954"/>
    <w:rsid w:val="00202DD3"/>
    <w:rsid w:val="002051CF"/>
    <w:rsid w:val="00206E7D"/>
    <w:rsid w:val="00217E14"/>
    <w:rsid w:val="00217EFD"/>
    <w:rsid w:val="00222134"/>
    <w:rsid w:val="0022233F"/>
    <w:rsid w:val="00226275"/>
    <w:rsid w:val="0023529C"/>
    <w:rsid w:val="00246564"/>
    <w:rsid w:val="00246A3B"/>
    <w:rsid w:val="00250FBF"/>
    <w:rsid w:val="00255404"/>
    <w:rsid w:val="0025594F"/>
    <w:rsid w:val="00262745"/>
    <w:rsid w:val="00267BE9"/>
    <w:rsid w:val="00270C5E"/>
    <w:rsid w:val="00290A03"/>
    <w:rsid w:val="0029159A"/>
    <w:rsid w:val="00291600"/>
    <w:rsid w:val="002A02F4"/>
    <w:rsid w:val="002C2C41"/>
    <w:rsid w:val="002C62E7"/>
    <w:rsid w:val="002E05E2"/>
    <w:rsid w:val="002E2DD6"/>
    <w:rsid w:val="002E2F6B"/>
    <w:rsid w:val="002E3F28"/>
    <w:rsid w:val="002E5745"/>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33F"/>
    <w:rsid w:val="003345D2"/>
    <w:rsid w:val="003355AC"/>
    <w:rsid w:val="00343D6B"/>
    <w:rsid w:val="00346090"/>
    <w:rsid w:val="00347FB5"/>
    <w:rsid w:val="00355515"/>
    <w:rsid w:val="003608B5"/>
    <w:rsid w:val="003613AF"/>
    <w:rsid w:val="00362EA5"/>
    <w:rsid w:val="00371B03"/>
    <w:rsid w:val="003878C1"/>
    <w:rsid w:val="00396C0B"/>
    <w:rsid w:val="003A630F"/>
    <w:rsid w:val="003B3958"/>
    <w:rsid w:val="003B4820"/>
    <w:rsid w:val="003B5F4B"/>
    <w:rsid w:val="003B682F"/>
    <w:rsid w:val="003C53FC"/>
    <w:rsid w:val="003C7013"/>
    <w:rsid w:val="003D4704"/>
    <w:rsid w:val="003D641B"/>
    <w:rsid w:val="003E2A93"/>
    <w:rsid w:val="003F00F4"/>
    <w:rsid w:val="003F227C"/>
    <w:rsid w:val="004023CC"/>
    <w:rsid w:val="00407564"/>
    <w:rsid w:val="00411152"/>
    <w:rsid w:val="0041508D"/>
    <w:rsid w:val="004156AA"/>
    <w:rsid w:val="004253A1"/>
    <w:rsid w:val="004313B6"/>
    <w:rsid w:val="00433339"/>
    <w:rsid w:val="00446BBC"/>
    <w:rsid w:val="004471BA"/>
    <w:rsid w:val="004472C0"/>
    <w:rsid w:val="00450705"/>
    <w:rsid w:val="00451928"/>
    <w:rsid w:val="00460B5D"/>
    <w:rsid w:val="0046618B"/>
    <w:rsid w:val="0048608C"/>
    <w:rsid w:val="00496E57"/>
    <w:rsid w:val="004A4C70"/>
    <w:rsid w:val="004B3E10"/>
    <w:rsid w:val="004C0F5D"/>
    <w:rsid w:val="004C375A"/>
    <w:rsid w:val="004C4954"/>
    <w:rsid w:val="004C5767"/>
    <w:rsid w:val="004D0080"/>
    <w:rsid w:val="004D5322"/>
    <w:rsid w:val="004D78B0"/>
    <w:rsid w:val="004E094A"/>
    <w:rsid w:val="004E611F"/>
    <w:rsid w:val="004F2A79"/>
    <w:rsid w:val="004F4D37"/>
    <w:rsid w:val="00501A14"/>
    <w:rsid w:val="00501DE3"/>
    <w:rsid w:val="005058CB"/>
    <w:rsid w:val="0051044D"/>
    <w:rsid w:val="005139E4"/>
    <w:rsid w:val="00515075"/>
    <w:rsid w:val="00516D12"/>
    <w:rsid w:val="00520FE9"/>
    <w:rsid w:val="005233E7"/>
    <w:rsid w:val="00526C8D"/>
    <w:rsid w:val="005328B2"/>
    <w:rsid w:val="00533CA8"/>
    <w:rsid w:val="00535BD5"/>
    <w:rsid w:val="00540977"/>
    <w:rsid w:val="005414BA"/>
    <w:rsid w:val="00551668"/>
    <w:rsid w:val="005572D5"/>
    <w:rsid w:val="00566BE4"/>
    <w:rsid w:val="00570D21"/>
    <w:rsid w:val="00576113"/>
    <w:rsid w:val="00590652"/>
    <w:rsid w:val="00592056"/>
    <w:rsid w:val="0059235F"/>
    <w:rsid w:val="00596936"/>
    <w:rsid w:val="005A2F1E"/>
    <w:rsid w:val="005A4232"/>
    <w:rsid w:val="005C3616"/>
    <w:rsid w:val="005C716F"/>
    <w:rsid w:val="005D36B2"/>
    <w:rsid w:val="005D52E7"/>
    <w:rsid w:val="005D78B5"/>
    <w:rsid w:val="005E3572"/>
    <w:rsid w:val="005E45E4"/>
    <w:rsid w:val="005F0A81"/>
    <w:rsid w:val="005F0FCF"/>
    <w:rsid w:val="005F6104"/>
    <w:rsid w:val="0060042F"/>
    <w:rsid w:val="006008BC"/>
    <w:rsid w:val="00602CFD"/>
    <w:rsid w:val="00606B55"/>
    <w:rsid w:val="00612A7B"/>
    <w:rsid w:val="00616E5E"/>
    <w:rsid w:val="006173A4"/>
    <w:rsid w:val="0062015E"/>
    <w:rsid w:val="006205AD"/>
    <w:rsid w:val="00625C3A"/>
    <w:rsid w:val="00635DDB"/>
    <w:rsid w:val="00637053"/>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B6F88"/>
    <w:rsid w:val="006D2330"/>
    <w:rsid w:val="006E0F8B"/>
    <w:rsid w:val="006E12F7"/>
    <w:rsid w:val="006E29D7"/>
    <w:rsid w:val="007068A4"/>
    <w:rsid w:val="00706D67"/>
    <w:rsid w:val="00713052"/>
    <w:rsid w:val="00721367"/>
    <w:rsid w:val="007231FA"/>
    <w:rsid w:val="00732C67"/>
    <w:rsid w:val="00734418"/>
    <w:rsid w:val="00757826"/>
    <w:rsid w:val="00762B13"/>
    <w:rsid w:val="007632B7"/>
    <w:rsid w:val="0076382F"/>
    <w:rsid w:val="00765768"/>
    <w:rsid w:val="00765D10"/>
    <w:rsid w:val="00766AC8"/>
    <w:rsid w:val="00767486"/>
    <w:rsid w:val="0077070E"/>
    <w:rsid w:val="0077296A"/>
    <w:rsid w:val="00777CA4"/>
    <w:rsid w:val="00792DF0"/>
    <w:rsid w:val="0079438F"/>
    <w:rsid w:val="007A08F3"/>
    <w:rsid w:val="007A3034"/>
    <w:rsid w:val="007A527E"/>
    <w:rsid w:val="007A53E7"/>
    <w:rsid w:val="007A78F7"/>
    <w:rsid w:val="007B3333"/>
    <w:rsid w:val="007B379F"/>
    <w:rsid w:val="007B37D6"/>
    <w:rsid w:val="007B5D30"/>
    <w:rsid w:val="007D2920"/>
    <w:rsid w:val="007D42DD"/>
    <w:rsid w:val="007E6A37"/>
    <w:rsid w:val="007F1774"/>
    <w:rsid w:val="007F593C"/>
    <w:rsid w:val="00811A70"/>
    <w:rsid w:val="0081406E"/>
    <w:rsid w:val="00832211"/>
    <w:rsid w:val="008325F4"/>
    <w:rsid w:val="00832AC8"/>
    <w:rsid w:val="00846FA4"/>
    <w:rsid w:val="008524BA"/>
    <w:rsid w:val="00852B74"/>
    <w:rsid w:val="00854D09"/>
    <w:rsid w:val="00856928"/>
    <w:rsid w:val="00865538"/>
    <w:rsid w:val="00870875"/>
    <w:rsid w:val="0088225C"/>
    <w:rsid w:val="00884026"/>
    <w:rsid w:val="00884C78"/>
    <w:rsid w:val="008859E1"/>
    <w:rsid w:val="00896264"/>
    <w:rsid w:val="008A2549"/>
    <w:rsid w:val="008A5673"/>
    <w:rsid w:val="008A5D88"/>
    <w:rsid w:val="008B24DF"/>
    <w:rsid w:val="008B2851"/>
    <w:rsid w:val="008C000E"/>
    <w:rsid w:val="008D0F2F"/>
    <w:rsid w:val="008D237F"/>
    <w:rsid w:val="008D3FD8"/>
    <w:rsid w:val="008D6B05"/>
    <w:rsid w:val="008E7D2D"/>
    <w:rsid w:val="008F44C0"/>
    <w:rsid w:val="008F5999"/>
    <w:rsid w:val="00903AD6"/>
    <w:rsid w:val="00904D7A"/>
    <w:rsid w:val="009053E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741F4"/>
    <w:rsid w:val="00975BB6"/>
    <w:rsid w:val="00984549"/>
    <w:rsid w:val="00985D28"/>
    <w:rsid w:val="00991BF0"/>
    <w:rsid w:val="00992EA3"/>
    <w:rsid w:val="009A0FB1"/>
    <w:rsid w:val="009A1FAC"/>
    <w:rsid w:val="009B001A"/>
    <w:rsid w:val="009B1A62"/>
    <w:rsid w:val="009C3CC7"/>
    <w:rsid w:val="009D2057"/>
    <w:rsid w:val="009D3D6C"/>
    <w:rsid w:val="009D5551"/>
    <w:rsid w:val="009D62DB"/>
    <w:rsid w:val="009E3B42"/>
    <w:rsid w:val="009F518A"/>
    <w:rsid w:val="00A02AF6"/>
    <w:rsid w:val="00A05B60"/>
    <w:rsid w:val="00A13266"/>
    <w:rsid w:val="00A14FA6"/>
    <w:rsid w:val="00A15D64"/>
    <w:rsid w:val="00A20575"/>
    <w:rsid w:val="00A32452"/>
    <w:rsid w:val="00A325CC"/>
    <w:rsid w:val="00A32BBF"/>
    <w:rsid w:val="00A372DD"/>
    <w:rsid w:val="00A37444"/>
    <w:rsid w:val="00A4281A"/>
    <w:rsid w:val="00A459CF"/>
    <w:rsid w:val="00A46554"/>
    <w:rsid w:val="00A5014D"/>
    <w:rsid w:val="00A53E96"/>
    <w:rsid w:val="00A56F18"/>
    <w:rsid w:val="00A628F8"/>
    <w:rsid w:val="00A62BAA"/>
    <w:rsid w:val="00A66172"/>
    <w:rsid w:val="00A7259D"/>
    <w:rsid w:val="00A744C3"/>
    <w:rsid w:val="00A80896"/>
    <w:rsid w:val="00AA70AB"/>
    <w:rsid w:val="00AA7710"/>
    <w:rsid w:val="00AB0B9F"/>
    <w:rsid w:val="00AB1713"/>
    <w:rsid w:val="00AB57C3"/>
    <w:rsid w:val="00AB63BE"/>
    <w:rsid w:val="00AC1EBC"/>
    <w:rsid w:val="00AC245F"/>
    <w:rsid w:val="00AC2599"/>
    <w:rsid w:val="00AC2DE9"/>
    <w:rsid w:val="00AC3CD9"/>
    <w:rsid w:val="00AD2C5F"/>
    <w:rsid w:val="00AE1481"/>
    <w:rsid w:val="00AE27F9"/>
    <w:rsid w:val="00AE77DB"/>
    <w:rsid w:val="00AF7453"/>
    <w:rsid w:val="00B00FFF"/>
    <w:rsid w:val="00B06084"/>
    <w:rsid w:val="00B0736F"/>
    <w:rsid w:val="00B16735"/>
    <w:rsid w:val="00B17EDE"/>
    <w:rsid w:val="00B22585"/>
    <w:rsid w:val="00B33693"/>
    <w:rsid w:val="00B34C53"/>
    <w:rsid w:val="00B507A5"/>
    <w:rsid w:val="00B5242A"/>
    <w:rsid w:val="00B52475"/>
    <w:rsid w:val="00B535DA"/>
    <w:rsid w:val="00B56DCC"/>
    <w:rsid w:val="00B56F54"/>
    <w:rsid w:val="00B638C2"/>
    <w:rsid w:val="00B70EAC"/>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7A7B"/>
    <w:rsid w:val="00C1018C"/>
    <w:rsid w:val="00C1150E"/>
    <w:rsid w:val="00C14D52"/>
    <w:rsid w:val="00C2586C"/>
    <w:rsid w:val="00C26001"/>
    <w:rsid w:val="00C34E72"/>
    <w:rsid w:val="00C56B1F"/>
    <w:rsid w:val="00C61B52"/>
    <w:rsid w:val="00C62745"/>
    <w:rsid w:val="00C654CA"/>
    <w:rsid w:val="00C763BD"/>
    <w:rsid w:val="00C779A8"/>
    <w:rsid w:val="00C82E19"/>
    <w:rsid w:val="00C96873"/>
    <w:rsid w:val="00CA1735"/>
    <w:rsid w:val="00CA207E"/>
    <w:rsid w:val="00CA3C4B"/>
    <w:rsid w:val="00CA7252"/>
    <w:rsid w:val="00CB2C5A"/>
    <w:rsid w:val="00CE0C1C"/>
    <w:rsid w:val="00CE34AF"/>
    <w:rsid w:val="00CE4A1B"/>
    <w:rsid w:val="00CF00A4"/>
    <w:rsid w:val="00CF25FB"/>
    <w:rsid w:val="00CF614C"/>
    <w:rsid w:val="00D02F34"/>
    <w:rsid w:val="00D13D87"/>
    <w:rsid w:val="00D16590"/>
    <w:rsid w:val="00D20720"/>
    <w:rsid w:val="00D232D9"/>
    <w:rsid w:val="00D250D9"/>
    <w:rsid w:val="00D26B0A"/>
    <w:rsid w:val="00D27533"/>
    <w:rsid w:val="00D40E26"/>
    <w:rsid w:val="00D42DA3"/>
    <w:rsid w:val="00D4546D"/>
    <w:rsid w:val="00D47996"/>
    <w:rsid w:val="00D5647D"/>
    <w:rsid w:val="00D56ADB"/>
    <w:rsid w:val="00D61118"/>
    <w:rsid w:val="00D614F1"/>
    <w:rsid w:val="00D70D50"/>
    <w:rsid w:val="00D71917"/>
    <w:rsid w:val="00D95E68"/>
    <w:rsid w:val="00DA3A0F"/>
    <w:rsid w:val="00DA4E62"/>
    <w:rsid w:val="00DA6990"/>
    <w:rsid w:val="00DA709C"/>
    <w:rsid w:val="00DB27BA"/>
    <w:rsid w:val="00DB3009"/>
    <w:rsid w:val="00DB337A"/>
    <w:rsid w:val="00DC034A"/>
    <w:rsid w:val="00DC51CB"/>
    <w:rsid w:val="00DD4819"/>
    <w:rsid w:val="00DD4B8A"/>
    <w:rsid w:val="00DD5403"/>
    <w:rsid w:val="00DD5746"/>
    <w:rsid w:val="00DE1388"/>
    <w:rsid w:val="00DE7501"/>
    <w:rsid w:val="00DF3146"/>
    <w:rsid w:val="00DF57C3"/>
    <w:rsid w:val="00E008D9"/>
    <w:rsid w:val="00E02FE0"/>
    <w:rsid w:val="00E07ABE"/>
    <w:rsid w:val="00E11A3F"/>
    <w:rsid w:val="00E1386E"/>
    <w:rsid w:val="00E1437B"/>
    <w:rsid w:val="00E2369B"/>
    <w:rsid w:val="00E23EC0"/>
    <w:rsid w:val="00E354AA"/>
    <w:rsid w:val="00E43D54"/>
    <w:rsid w:val="00E442FB"/>
    <w:rsid w:val="00E529DB"/>
    <w:rsid w:val="00E53A5E"/>
    <w:rsid w:val="00E6466A"/>
    <w:rsid w:val="00E72221"/>
    <w:rsid w:val="00E81B96"/>
    <w:rsid w:val="00E83428"/>
    <w:rsid w:val="00E84C58"/>
    <w:rsid w:val="00E873A5"/>
    <w:rsid w:val="00E90D11"/>
    <w:rsid w:val="00E915E5"/>
    <w:rsid w:val="00EB0367"/>
    <w:rsid w:val="00EB4FB9"/>
    <w:rsid w:val="00EB5BC8"/>
    <w:rsid w:val="00EC2738"/>
    <w:rsid w:val="00ED760F"/>
    <w:rsid w:val="00ED7B42"/>
    <w:rsid w:val="00EE1E07"/>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4F69"/>
    <w:rsid w:val="00F553A2"/>
    <w:rsid w:val="00F6068C"/>
    <w:rsid w:val="00F62F33"/>
    <w:rsid w:val="00F634C1"/>
    <w:rsid w:val="00F63A52"/>
    <w:rsid w:val="00F730BA"/>
    <w:rsid w:val="00F87CCE"/>
    <w:rsid w:val="00F903BE"/>
    <w:rsid w:val="00F95D04"/>
    <w:rsid w:val="00FA0547"/>
    <w:rsid w:val="00FA16EC"/>
    <w:rsid w:val="00FA2811"/>
    <w:rsid w:val="00FA4837"/>
    <w:rsid w:val="00FB1D33"/>
    <w:rsid w:val="00FB5E96"/>
    <w:rsid w:val="00FC05A0"/>
    <w:rsid w:val="00FC6758"/>
    <w:rsid w:val="00FD34EA"/>
    <w:rsid w:val="00FE3F3E"/>
    <w:rsid w:val="00FE4D52"/>
    <w:rsid w:val="00FE5AEE"/>
    <w:rsid w:val="00FF106B"/>
    <w:rsid w:val="15EB50BA"/>
    <w:rsid w:val="1F042071"/>
    <w:rsid w:val="223AC888"/>
    <w:rsid w:val="345D4F8E"/>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3E2A93"/>
    <w:rPr>
      <w:sz w:val="16"/>
      <w:szCs w:val="16"/>
    </w:rPr>
  </w:style>
  <w:style w:type="paragraph" w:styleId="CommentSubject">
    <w:name w:val="annotation subject"/>
    <w:basedOn w:val="CommentText"/>
    <w:next w:val="CommentText"/>
    <w:link w:val="CommentSubjectChar"/>
    <w:uiPriority w:val="99"/>
    <w:semiHidden/>
    <w:unhideWhenUsed/>
    <w:rsid w:val="003E2A93"/>
    <w:rPr>
      <w:b/>
      <w:bCs/>
    </w:rPr>
  </w:style>
  <w:style w:type="character" w:customStyle="1" w:styleId="CommentTextChar">
    <w:name w:val="Comment Text Char"/>
    <w:basedOn w:val="DefaultParagraphFont"/>
    <w:link w:val="CommentText"/>
    <w:semiHidden/>
    <w:rsid w:val="003E2A93"/>
    <w:rPr>
      <w:rFonts w:ascii="Arial" w:hAnsi="Arial"/>
    </w:rPr>
  </w:style>
  <w:style w:type="character" w:customStyle="1" w:styleId="CommentSubjectChar">
    <w:name w:val="Comment Subject Char"/>
    <w:basedOn w:val="CommentTextChar"/>
    <w:link w:val="CommentSubject"/>
    <w:uiPriority w:val="99"/>
    <w:semiHidden/>
    <w:rsid w:val="003E2A9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4DB77848-A9D5-437B-B1C7-B3C25B3A14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668</Words>
  <Characters>3810</Characters>
  <Application>Microsoft Office Word</Application>
  <DocSecurity>10</DocSecurity>
  <Lines>31</Lines>
  <Paragraphs>8</Paragraphs>
  <ScaleCrop>false</ScaleCrop>
  <HeadingPairs>
    <vt:vector size="2" baseType="variant">
      <vt:variant>
        <vt:lpstr>Title</vt:lpstr>
      </vt:variant>
      <vt:variant>
        <vt:i4>1</vt:i4>
      </vt:variant>
    </vt:vector>
  </HeadingPairs>
  <TitlesOfParts>
    <vt:vector size="1" baseType="lpstr">
      <vt:lpstr>Proprotein Convertase Subtilisin Kexin type 9 (PCSK9) Inhibitors PDL Edit</vt:lpstr>
    </vt:vector>
  </TitlesOfParts>
  <Company>DSS</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Proprotein Convertase Subtilisin Kexin type 9 (PCSK9) Inhibitors PDL Edit</dc:title>
  <dc:subject/>
  <dc:creator>DMS</dc:creator>
  <cp:keywords/>
  <cp:lastModifiedBy>Hammond, Chelsea</cp:lastModifiedBy>
  <cp:revision>47</cp:revision>
  <cp:lastPrinted>2018-10-31T18:17:00Z</cp:lastPrinted>
  <dcterms:created xsi:type="dcterms:W3CDTF">2025-11-19T15:39:00Z</dcterms:created>
  <dcterms:modified xsi:type="dcterms:W3CDTF">2026-10-13T15:57:00Z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923ae078bf95eeb36509429dc5cc9b4f7b083691f257d082680bfeae660b6f92</vt:lpwstr>
  </property>
</Properties>
</file>