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6F6107C1" w:rsidR="004C5767" w:rsidRPr="006560B3" w:rsidRDefault="004C5767" w:rsidP="00D27533">
      <w:pPr>
        <w:pStyle w:val="tbody"/>
        <w:rPr>
          <w:b w:val="0"/>
        </w:rPr>
      </w:pPr>
      <w:r w:rsidRPr="00C02553">
        <w:t>Drug/Drug Class:</w:t>
      </w:r>
      <w:r w:rsidR="006560B3">
        <w:rPr>
          <w:b w:val="0"/>
        </w:rPr>
        <w:t xml:space="preserve"> </w:t>
      </w:r>
      <w:r w:rsidR="00512204" w:rsidRPr="00512204">
        <w:rPr>
          <w:b w:val="0"/>
        </w:rPr>
        <w:t>Spinal Muscular Atrophy (SMA) Clinical Edit</w:t>
      </w:r>
    </w:p>
    <w:p w14:paraId="7AD7FFCE" w14:textId="4C9805B9" w:rsidR="004C5767" w:rsidRPr="006560B3" w:rsidRDefault="004C5767" w:rsidP="00D27533">
      <w:pPr>
        <w:pStyle w:val="tbody"/>
        <w:rPr>
          <w:b w:val="0"/>
        </w:rPr>
      </w:pPr>
      <w:r w:rsidRPr="00C02553">
        <w:t>First Implementation Date:</w:t>
      </w:r>
      <w:r w:rsidR="006560B3">
        <w:rPr>
          <w:b w:val="0"/>
        </w:rPr>
        <w:t xml:space="preserve"> </w:t>
      </w:r>
      <w:r w:rsidR="00A85246" w:rsidRPr="00A85246">
        <w:rPr>
          <w:b w:val="0"/>
        </w:rPr>
        <w:t>April 22, 2021</w:t>
      </w:r>
    </w:p>
    <w:p w14:paraId="4B7D760D" w14:textId="2DB29632" w:rsidR="004C5767" w:rsidRPr="00D232D9" w:rsidRDefault="003C5718" w:rsidP="15EB50BA">
      <w:pPr>
        <w:pStyle w:val="tbody"/>
        <w:rPr>
          <w:b w:val="0"/>
        </w:rPr>
      </w:pPr>
      <w:r>
        <w:t>Proposed</w:t>
      </w:r>
      <w:r w:rsidR="004C5767">
        <w:t xml:space="preserve"> Date:</w:t>
      </w:r>
      <w:r w:rsidR="00065C22">
        <w:t xml:space="preserve"> </w:t>
      </w:r>
      <w:r w:rsidR="0068318C">
        <w:rPr>
          <w:b w:val="0"/>
        </w:rPr>
        <w:t>October</w:t>
      </w:r>
      <w:r w:rsidR="00D232D9">
        <w:rPr>
          <w:b w:val="0"/>
        </w:rPr>
        <w:t xml:space="preserve"> </w:t>
      </w:r>
      <w:r w:rsidR="0068318C">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1133860" w:rsidR="004C5767" w:rsidRPr="00D27533" w:rsidRDefault="004C5767" w:rsidP="00D27533">
      <w:pPr>
        <w:pStyle w:val="tbody"/>
        <w:rPr>
          <w:b w:val="0"/>
          <w:bCs/>
          <w:spacing w:val="-3"/>
        </w:rPr>
      </w:pPr>
      <w:r w:rsidRPr="007773E8">
        <w:t xml:space="preserve">Criteria Status: </w:t>
      </w:r>
      <w:r w:rsidR="003C5718" w:rsidRPr="003C5718">
        <w:rPr>
          <w:b w:val="0"/>
          <w:bCs/>
        </w:rPr>
        <w:t>Revision of</w:t>
      </w:r>
      <w:r w:rsidR="003C5718">
        <w:t xml:space="preserve"> </w:t>
      </w:r>
      <w:r w:rsidR="00915FEB" w:rsidRPr="00A85246">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2C631F3" w:rsidR="00D47996" w:rsidRDefault="79EEA449" w:rsidP="00696E3A">
      <w:r>
        <w:t>Ensure appropriate utilization and control of</w:t>
      </w:r>
      <w:r w:rsidR="00D47996">
        <w:t xml:space="preserve"> </w:t>
      </w:r>
      <w:r w:rsidR="00351E4B" w:rsidRPr="00351E4B">
        <w:t xml:space="preserve">agents </w:t>
      </w:r>
      <w:r w:rsidR="008A5F78">
        <w:rPr>
          <w:rFonts w:cs="Arial"/>
          <w:spacing w:val="-3"/>
        </w:rPr>
        <w:t xml:space="preserve">for </w:t>
      </w:r>
      <w:r w:rsidR="008A5F78" w:rsidRPr="00CD3D92">
        <w:rPr>
          <w:rFonts w:cs="Arial"/>
        </w:rPr>
        <w:t>spinal muscular atrophy (SMA)</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2021CFF8" w14:textId="77777777" w:rsidR="00E77DF2" w:rsidRPr="00E77DF2" w:rsidRDefault="00E77DF2" w:rsidP="00E77DF2">
      <w:r w:rsidRPr="00E77DF2">
        <w:t>Spinal muscular atrophy (SMA) is a rare, genetic neuromuscular disease with the most severe cases affecting infants and young children.  The most common cause of SMA is the homozygous deletion or deletion and mutation of the alleles of the survival motor neuron (</w:t>
      </w:r>
      <w:r w:rsidRPr="000B28DE">
        <w:rPr>
          <w:i/>
          <w:iCs/>
        </w:rPr>
        <w:t>SMN</w:t>
      </w:r>
      <w:r w:rsidRPr="00E77DF2">
        <w:t xml:space="preserve">) 1 gene on chromosome 5q. SMN protein is essential to motor neurons involved in ambulatory function, head and neck control, swallowing, and breathing.  While the </w:t>
      </w:r>
      <w:r w:rsidRPr="000B28DE">
        <w:rPr>
          <w:i/>
          <w:iCs/>
        </w:rPr>
        <w:t>SMN1</w:t>
      </w:r>
      <w:r w:rsidRPr="00E77DF2">
        <w:t xml:space="preserve"> gene produces most of the full-length SMN protein in the body, another gene, </w:t>
      </w:r>
      <w:r w:rsidRPr="000B28DE">
        <w:rPr>
          <w:i/>
          <w:iCs/>
        </w:rPr>
        <w:t>SMN2</w:t>
      </w:r>
      <w:r w:rsidRPr="00E77DF2">
        <w:t xml:space="preserve">, also produces </w:t>
      </w:r>
      <w:r w:rsidRPr="007D2525">
        <w:t>SMN</w:t>
      </w:r>
      <w:r w:rsidRPr="00E77DF2">
        <w:t xml:space="preserve"> protein. SMA is less severe in individuals who have more copies of the </w:t>
      </w:r>
      <w:r w:rsidRPr="000B28DE">
        <w:rPr>
          <w:i/>
          <w:iCs/>
        </w:rPr>
        <w:t>SMN2</w:t>
      </w:r>
      <w:r w:rsidRPr="00E77DF2">
        <w:t xml:space="preserve"> gene because it can compensate for the SMN protein deficiency caused by the defect in the </w:t>
      </w:r>
      <w:r w:rsidRPr="000B28DE">
        <w:rPr>
          <w:i/>
          <w:iCs/>
        </w:rPr>
        <w:t>SMN1</w:t>
      </w:r>
      <w:r w:rsidRPr="00E77DF2">
        <w:t xml:space="preserve"> gene. In the United States the incidence of SMA is approximately one in 11,000 live births or about 500 new SMA cases per year. Currently, there are two FDA approved maintenance therapies and two FDA approved one-time gene therapies for the treatment of SMA.</w:t>
      </w:r>
    </w:p>
    <w:p w14:paraId="4C342FE4" w14:textId="77777777" w:rsidR="00E77DF2" w:rsidRPr="00E77DF2" w:rsidRDefault="00E77DF2" w:rsidP="00E77DF2"/>
    <w:p w14:paraId="091E0CA8" w14:textId="6E4E8B9E" w:rsidR="00E77DF2" w:rsidRPr="00C941D4" w:rsidRDefault="00E77DF2" w:rsidP="00E77DF2">
      <w:pPr>
        <w:rPr>
          <w:b/>
          <w:bCs/>
          <w:strike/>
          <w:color w:val="1F497D" w:themeColor="text2"/>
        </w:rPr>
      </w:pPr>
      <w:r w:rsidRPr="00E77DF2">
        <w:t xml:space="preserve">Spinraza (nusinersen) is a SMN2-directed antisense oligonucleotide indicated for the treatment of SMA in pediatric and adult patients. Spinraza was the first FDA approved treatment for SMA, approved in December 2016. Spinraza alters the splicing of the </w:t>
      </w:r>
      <w:r w:rsidRPr="00254A51">
        <w:rPr>
          <w:i/>
          <w:iCs/>
        </w:rPr>
        <w:t>SMN2</w:t>
      </w:r>
      <w:r w:rsidRPr="00E77DF2">
        <w:t xml:space="preserve"> gene increasing the production of SMN2 protein which can compensate for the deficiency of </w:t>
      </w:r>
      <w:r w:rsidRPr="00254A51">
        <w:t>SMN1</w:t>
      </w:r>
      <w:r w:rsidRPr="00E77DF2">
        <w:t xml:space="preserve"> protein. Spinraza is a maintenance medication, administered intrathecally. </w:t>
      </w:r>
    </w:p>
    <w:p w14:paraId="60D83FCD" w14:textId="77777777" w:rsidR="00E77DF2" w:rsidRPr="00E77DF2" w:rsidRDefault="00E77DF2" w:rsidP="00E77DF2"/>
    <w:p w14:paraId="63149335" w14:textId="461CB5B9" w:rsidR="00E77DF2" w:rsidRPr="00E77DF2" w:rsidRDefault="00E77DF2" w:rsidP="00E77DF2">
      <w:r w:rsidRPr="00E77DF2">
        <w:t xml:space="preserve">Evrysdi (risdiplam) was FDA approved in August 2020 for the treatment of SMA in patients 2 months of age and older.  Evrysdi is </w:t>
      </w:r>
      <w:r w:rsidR="00C31403" w:rsidRPr="00E77DF2">
        <w:t>an SMN2</w:t>
      </w:r>
      <w:r w:rsidRPr="00E77DF2">
        <w:t>-directed RNA splicing modifier that increases exon 7 inclusion in SMN2 mRNA transcripts and production of full-length SMN protein in the brain. Like Spinraza, Evrysdi is a maintenance medication; however, Evrysdi is the first medication which can be given at home for SMA patients, taken orally once a day.</w:t>
      </w:r>
    </w:p>
    <w:p w14:paraId="27603C23" w14:textId="77777777" w:rsidR="00E77DF2" w:rsidRPr="00E77DF2" w:rsidRDefault="00E77DF2" w:rsidP="00E77DF2"/>
    <w:p w14:paraId="38113881" w14:textId="66358AF7" w:rsidR="00E77DF2" w:rsidRPr="00E77DF2" w:rsidRDefault="00E77DF2" w:rsidP="00E77DF2">
      <w:r w:rsidRPr="00E77DF2">
        <w:t xml:space="preserve">In May 2019, the FDA approved Zolgensma (onasemnogene abeparvovec-xioi), an adeno-associated virus vector-based intravenous gene therapy, for the treatment of pediatric patients less than 2 years of age with SMA with bi-allelic mutations in the </w:t>
      </w:r>
      <w:r w:rsidRPr="000B28DE">
        <w:rPr>
          <w:i/>
          <w:iCs/>
        </w:rPr>
        <w:t>SMN1</w:t>
      </w:r>
      <w:r w:rsidRPr="00E77DF2">
        <w:t xml:space="preserve"> gene.  Later in November 2025, its intrathecal version Itvisma (onasemnogene abeparvovec-brve) received FDA approval for patients age 2 and older with confirmed mutation in </w:t>
      </w:r>
      <w:r w:rsidRPr="000B28DE">
        <w:rPr>
          <w:i/>
          <w:iCs/>
        </w:rPr>
        <w:t>SMN1</w:t>
      </w:r>
      <w:r w:rsidRPr="00E77DF2">
        <w:t xml:space="preserve"> gene.  Unlike Spinraza and Evrysdi, which provide maintenance therapy aimed at slowing the progression of the disease, current evidence and guidance position Zolgensma and Itvisma as one-time, single-dose treatment intended to provide a functional copy of the </w:t>
      </w:r>
      <w:r w:rsidRPr="00254A51">
        <w:rPr>
          <w:i/>
          <w:iCs/>
        </w:rPr>
        <w:t>SMN1</w:t>
      </w:r>
      <w:r w:rsidRPr="00E77DF2">
        <w:t xml:space="preserve"> gene.</w:t>
      </w:r>
    </w:p>
    <w:p w14:paraId="1028BD7C" w14:textId="77777777" w:rsidR="00DF3C62" w:rsidRPr="00032266" w:rsidRDefault="00DF3C62" w:rsidP="0009482C">
      <w:pPr>
        <w:pStyle w:val="CommentText"/>
        <w:rPr>
          <w:rFonts w:cs="Arial"/>
          <w:bCs/>
          <w:spacing w:val="-3"/>
          <w:sz w:val="18"/>
          <w:szCs w:val="18"/>
        </w:rPr>
      </w:pPr>
    </w:p>
    <w:p w14:paraId="7ACECC9F" w14:textId="642DCA62" w:rsidR="00B56DCC" w:rsidRDefault="003276BF" w:rsidP="003276BF">
      <w:r w:rsidRPr="00032266">
        <w:rPr>
          <w:rFonts w:cs="Arial"/>
          <w:bCs/>
          <w:spacing w:val="-3"/>
        </w:rPr>
        <w:t xml:space="preserve">Due to the high cost and specific approved indication, MO HealthNet will impose clinical criteria to ensure appropriate utilization of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6E51C725" w14:textId="77777777" w:rsidR="00351E4B" w:rsidRDefault="00351E4B" w:rsidP="00696E3A"/>
    <w:p w14:paraId="20FCB98C" w14:textId="77777777" w:rsidR="00D45919" w:rsidRDefault="00D45919" w:rsidP="00696E3A"/>
    <w:p w14:paraId="5B5260CF" w14:textId="2CBFC927" w:rsidR="003D4704" w:rsidRPr="00AD17B7" w:rsidRDefault="003D4704" w:rsidP="003D4704">
      <w:r>
        <w:rPr>
          <w:b/>
          <w:bCs/>
        </w:rPr>
        <w:lastRenderedPageBreak/>
        <w:t xml:space="preserve">Program-Specific Information: </w:t>
      </w:r>
      <w:r>
        <w:t>Dat</w:t>
      </w:r>
      <w:r w:rsidR="00ED760F">
        <w:t>e</w:t>
      </w:r>
      <w:r>
        <w:t xml:space="preserve"> Range FFS </w:t>
      </w:r>
      <w:r w:rsidR="004F7FEA">
        <w:t>7</w:t>
      </w:r>
      <w:r>
        <w:t>-1-202</w:t>
      </w:r>
      <w:r w:rsidR="007D2525">
        <w:t>5</w:t>
      </w:r>
      <w:r>
        <w:t xml:space="preserve"> to </w:t>
      </w:r>
      <w:r w:rsidR="004F7FEA">
        <w:t>6</w:t>
      </w:r>
      <w:r>
        <w:t>-30-202</w:t>
      </w:r>
      <w:r w:rsidR="007D2525">
        <w:t>6</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83"/>
        <w:gridCol w:w="1329"/>
        <w:gridCol w:w="2279"/>
        <w:gridCol w:w="1715"/>
      </w:tblGrid>
      <w:tr w:rsidR="00C064B9" w:rsidRPr="00902CF9" w14:paraId="7E639B47" w14:textId="11AFAB32" w:rsidTr="005F63F9">
        <w:trPr>
          <w:trHeight w:val="232"/>
          <w:jc w:val="center"/>
        </w:trPr>
        <w:tc>
          <w:tcPr>
            <w:tcW w:w="3060" w:type="dxa"/>
            <w:shd w:val="clear" w:color="auto" w:fill="FABF8F" w:themeFill="accent6" w:themeFillTint="99"/>
            <w:vAlign w:val="center"/>
          </w:tcPr>
          <w:p w14:paraId="0258BA66" w14:textId="08D081F4" w:rsidR="00C064B9" w:rsidRPr="00902CF9" w:rsidRDefault="00C064B9" w:rsidP="00C064B9">
            <w:pPr>
              <w:jc w:val="center"/>
              <w:rPr>
                <w:rFonts w:cs="Arial"/>
                <w:b/>
                <w:bCs/>
                <w:spacing w:val="-3"/>
                <w:szCs w:val="20"/>
              </w:rPr>
            </w:pPr>
            <w:r w:rsidRPr="0068388E">
              <w:rPr>
                <w:rFonts w:cs="Arial"/>
                <w:b/>
                <w:bCs/>
                <w:spacing w:val="-3"/>
                <w:szCs w:val="20"/>
              </w:rPr>
              <w:t>Drug</w:t>
            </w:r>
          </w:p>
        </w:tc>
        <w:tc>
          <w:tcPr>
            <w:tcW w:w="1383" w:type="dxa"/>
            <w:shd w:val="clear" w:color="auto" w:fill="FABF8F" w:themeFill="accent6" w:themeFillTint="99"/>
            <w:vAlign w:val="center"/>
          </w:tcPr>
          <w:p w14:paraId="20F37C53" w14:textId="65BF308B" w:rsidR="00C064B9" w:rsidRPr="00902CF9" w:rsidRDefault="00C064B9" w:rsidP="00C064B9">
            <w:pPr>
              <w:jc w:val="center"/>
              <w:rPr>
                <w:rFonts w:cs="Arial"/>
                <w:b/>
                <w:bCs/>
                <w:spacing w:val="-3"/>
                <w:szCs w:val="20"/>
              </w:rPr>
            </w:pPr>
            <w:r w:rsidRPr="0068388E">
              <w:rPr>
                <w:rFonts w:cs="Arial"/>
                <w:b/>
                <w:spacing w:val="-3"/>
                <w:szCs w:val="20"/>
              </w:rPr>
              <w:t>Participants</w:t>
            </w:r>
          </w:p>
        </w:tc>
        <w:tc>
          <w:tcPr>
            <w:tcW w:w="1329" w:type="dxa"/>
            <w:shd w:val="clear" w:color="auto" w:fill="FABF8F" w:themeFill="accent6" w:themeFillTint="99"/>
            <w:vAlign w:val="center"/>
          </w:tcPr>
          <w:p w14:paraId="37F54882" w14:textId="525A1C86" w:rsidR="00C064B9" w:rsidRPr="00902CF9" w:rsidRDefault="00C064B9"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C064B9" w:rsidRPr="00902CF9" w:rsidRDefault="00C064B9"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1E2EF3">
            <w:pPr>
              <w:jc w:val="center"/>
            </w:pPr>
            <w:r w:rsidRPr="0068388E">
              <w:rPr>
                <w:rFonts w:cs="Arial"/>
                <w:b/>
                <w:spacing w:val="-3"/>
                <w:szCs w:val="20"/>
              </w:rPr>
              <w:t>Average Spend per Claim</w:t>
            </w:r>
          </w:p>
        </w:tc>
      </w:tr>
      <w:tr w:rsidR="005C2E6F" w:rsidRPr="00902CF9" w14:paraId="29C2C6B5" w14:textId="3BDCEDEA" w:rsidTr="005F63F9">
        <w:trPr>
          <w:trHeight w:val="232"/>
          <w:jc w:val="center"/>
        </w:trPr>
        <w:tc>
          <w:tcPr>
            <w:tcW w:w="3060" w:type="dxa"/>
            <w:vAlign w:val="center"/>
          </w:tcPr>
          <w:p w14:paraId="4E48F17F" w14:textId="2DB99EC4" w:rsidR="005C2E6F" w:rsidRPr="00902CF9" w:rsidRDefault="005C2E6F" w:rsidP="005C2E6F">
            <w:pPr>
              <w:rPr>
                <w:rFonts w:cs="Arial"/>
                <w:szCs w:val="20"/>
              </w:rPr>
            </w:pPr>
            <w:r w:rsidRPr="001B78D7">
              <w:rPr>
                <w:rFonts w:cs="Arial"/>
                <w:bCs/>
                <w:szCs w:val="20"/>
              </w:rPr>
              <w:t>EVRYSDI 60 MG/80 ML</w:t>
            </w:r>
          </w:p>
        </w:tc>
        <w:tc>
          <w:tcPr>
            <w:tcW w:w="1383" w:type="dxa"/>
            <w:vAlign w:val="center"/>
          </w:tcPr>
          <w:p w14:paraId="5F6574F8" w14:textId="0AEEB67B" w:rsidR="005C2E6F" w:rsidRPr="00902CF9" w:rsidRDefault="00F85EE0" w:rsidP="005C2E6F">
            <w:pPr>
              <w:jc w:val="center"/>
              <w:rPr>
                <w:rFonts w:cs="Arial"/>
                <w:szCs w:val="20"/>
              </w:rPr>
            </w:pPr>
            <w:r>
              <w:rPr>
                <w:rFonts w:cs="Arial"/>
                <w:szCs w:val="20"/>
              </w:rPr>
              <w:t>17</w:t>
            </w:r>
          </w:p>
        </w:tc>
        <w:tc>
          <w:tcPr>
            <w:tcW w:w="1329" w:type="dxa"/>
            <w:vAlign w:val="bottom"/>
          </w:tcPr>
          <w:p w14:paraId="52453425" w14:textId="46C61EB3" w:rsidR="005C2E6F" w:rsidRPr="00902CF9" w:rsidRDefault="005C2E6F" w:rsidP="005C2E6F">
            <w:pPr>
              <w:jc w:val="center"/>
              <w:rPr>
                <w:rFonts w:cs="Arial"/>
                <w:szCs w:val="20"/>
              </w:rPr>
            </w:pPr>
            <w:r>
              <w:rPr>
                <w:rFonts w:cs="Arial"/>
                <w:szCs w:val="20"/>
              </w:rPr>
              <w:t>150</w:t>
            </w:r>
          </w:p>
        </w:tc>
        <w:tc>
          <w:tcPr>
            <w:tcW w:w="2279" w:type="dxa"/>
            <w:vAlign w:val="bottom"/>
          </w:tcPr>
          <w:p w14:paraId="43EE586B" w14:textId="15FDE75D" w:rsidR="005C2E6F" w:rsidRPr="00902CF9" w:rsidRDefault="005C2E6F" w:rsidP="005C2E6F">
            <w:pPr>
              <w:jc w:val="center"/>
              <w:rPr>
                <w:rFonts w:cs="Arial"/>
                <w:szCs w:val="20"/>
              </w:rPr>
            </w:pPr>
            <w:r>
              <w:rPr>
                <w:rFonts w:cs="Arial"/>
                <w:szCs w:val="20"/>
              </w:rPr>
              <w:t xml:space="preserve">$2,573,625.19 </w:t>
            </w:r>
          </w:p>
        </w:tc>
        <w:tc>
          <w:tcPr>
            <w:tcW w:w="1715" w:type="dxa"/>
            <w:vAlign w:val="bottom"/>
          </w:tcPr>
          <w:p w14:paraId="259FFA2F" w14:textId="7A540111" w:rsidR="005C2E6F" w:rsidRPr="00902CF9" w:rsidRDefault="005C2E6F" w:rsidP="005C2E6F">
            <w:pPr>
              <w:jc w:val="center"/>
            </w:pPr>
            <w:r>
              <w:rPr>
                <w:rFonts w:cs="Arial"/>
                <w:szCs w:val="20"/>
              </w:rPr>
              <w:t xml:space="preserve">$17,157.50 </w:t>
            </w:r>
          </w:p>
        </w:tc>
      </w:tr>
      <w:tr w:rsidR="00881D6E" w:rsidRPr="00902CF9" w14:paraId="0A1EF85E" w14:textId="55E4001F" w:rsidTr="005F63F9">
        <w:trPr>
          <w:trHeight w:val="232"/>
          <w:jc w:val="center"/>
        </w:trPr>
        <w:tc>
          <w:tcPr>
            <w:tcW w:w="3060" w:type="dxa"/>
            <w:vAlign w:val="center"/>
          </w:tcPr>
          <w:p w14:paraId="77B43C05" w14:textId="15F14E63" w:rsidR="00881D6E" w:rsidRPr="00902CF9" w:rsidRDefault="00881D6E" w:rsidP="00881D6E">
            <w:pPr>
              <w:rPr>
                <w:rFonts w:cs="Arial"/>
                <w:szCs w:val="20"/>
              </w:rPr>
            </w:pPr>
            <w:r w:rsidRPr="00C97A2D">
              <w:rPr>
                <w:rFonts w:cs="Arial"/>
                <w:bCs/>
                <w:szCs w:val="20"/>
              </w:rPr>
              <w:t>EVRYSDI 5 MG TABLET</w:t>
            </w:r>
          </w:p>
        </w:tc>
        <w:tc>
          <w:tcPr>
            <w:tcW w:w="1383" w:type="dxa"/>
            <w:vAlign w:val="center"/>
          </w:tcPr>
          <w:p w14:paraId="586F93BC" w14:textId="30FCADC6" w:rsidR="00881D6E" w:rsidRPr="00902CF9" w:rsidRDefault="00F85EE0" w:rsidP="00881D6E">
            <w:pPr>
              <w:jc w:val="center"/>
              <w:rPr>
                <w:rFonts w:cs="Arial"/>
                <w:szCs w:val="20"/>
              </w:rPr>
            </w:pPr>
            <w:r>
              <w:rPr>
                <w:rFonts w:cs="Arial"/>
                <w:bCs/>
                <w:spacing w:val="-3"/>
                <w:szCs w:val="20"/>
              </w:rPr>
              <w:t>4</w:t>
            </w:r>
          </w:p>
        </w:tc>
        <w:tc>
          <w:tcPr>
            <w:tcW w:w="1329" w:type="dxa"/>
            <w:vAlign w:val="bottom"/>
          </w:tcPr>
          <w:p w14:paraId="4B838051" w14:textId="65B0FA8A" w:rsidR="00881D6E" w:rsidRPr="00902CF9" w:rsidRDefault="00881D6E" w:rsidP="00881D6E">
            <w:pPr>
              <w:jc w:val="center"/>
              <w:rPr>
                <w:rFonts w:cs="Arial"/>
                <w:szCs w:val="20"/>
              </w:rPr>
            </w:pPr>
            <w:r>
              <w:rPr>
                <w:rFonts w:cs="Arial"/>
                <w:szCs w:val="20"/>
              </w:rPr>
              <w:t>26</w:t>
            </w:r>
          </w:p>
        </w:tc>
        <w:tc>
          <w:tcPr>
            <w:tcW w:w="2279" w:type="dxa"/>
            <w:vAlign w:val="bottom"/>
          </w:tcPr>
          <w:p w14:paraId="0EDE8848" w14:textId="7A5D2FAE" w:rsidR="00881D6E" w:rsidRPr="00902CF9" w:rsidRDefault="00881D6E" w:rsidP="00881D6E">
            <w:pPr>
              <w:jc w:val="center"/>
              <w:rPr>
                <w:rFonts w:cs="Arial"/>
                <w:szCs w:val="20"/>
              </w:rPr>
            </w:pPr>
            <w:r>
              <w:rPr>
                <w:rFonts w:cs="Arial"/>
                <w:szCs w:val="20"/>
              </w:rPr>
              <w:t xml:space="preserve">$792,456.74 </w:t>
            </w:r>
          </w:p>
        </w:tc>
        <w:tc>
          <w:tcPr>
            <w:tcW w:w="1715" w:type="dxa"/>
            <w:vAlign w:val="bottom"/>
          </w:tcPr>
          <w:p w14:paraId="26E592A9" w14:textId="36481375" w:rsidR="00881D6E" w:rsidRPr="00902CF9" w:rsidRDefault="00881D6E" w:rsidP="00881D6E">
            <w:pPr>
              <w:jc w:val="center"/>
            </w:pPr>
            <w:r>
              <w:rPr>
                <w:rFonts w:cs="Arial"/>
                <w:szCs w:val="20"/>
              </w:rPr>
              <w:t xml:space="preserve">$30,479.11 </w:t>
            </w:r>
          </w:p>
        </w:tc>
      </w:tr>
      <w:tr w:rsidR="00520157" w:rsidRPr="00902CF9" w14:paraId="67294B88" w14:textId="77777777" w:rsidTr="005F63F9">
        <w:trPr>
          <w:trHeight w:val="232"/>
          <w:jc w:val="center"/>
        </w:trPr>
        <w:tc>
          <w:tcPr>
            <w:tcW w:w="3060" w:type="dxa"/>
            <w:vAlign w:val="center"/>
          </w:tcPr>
          <w:p w14:paraId="29C70297" w14:textId="36439FDC" w:rsidR="00520157" w:rsidRPr="00C97A2D" w:rsidRDefault="00520157" w:rsidP="00520157">
            <w:pPr>
              <w:rPr>
                <w:rFonts w:cs="Arial"/>
                <w:bCs/>
                <w:szCs w:val="20"/>
              </w:rPr>
            </w:pPr>
            <w:r w:rsidRPr="001B78D7">
              <w:rPr>
                <w:rFonts w:cs="Arial"/>
                <w:bCs/>
                <w:szCs w:val="20"/>
              </w:rPr>
              <w:t>SPINRAZA 12 MG/5 ML</w:t>
            </w:r>
          </w:p>
        </w:tc>
        <w:tc>
          <w:tcPr>
            <w:tcW w:w="1383" w:type="dxa"/>
            <w:vAlign w:val="center"/>
          </w:tcPr>
          <w:p w14:paraId="52BB2FC0" w14:textId="34CBC577" w:rsidR="00520157" w:rsidRDefault="00D22ECC" w:rsidP="00520157">
            <w:pPr>
              <w:jc w:val="center"/>
              <w:rPr>
                <w:rFonts w:cs="Arial"/>
                <w:bCs/>
                <w:spacing w:val="-3"/>
                <w:szCs w:val="20"/>
              </w:rPr>
            </w:pPr>
            <w:r>
              <w:rPr>
                <w:rFonts w:cs="Arial"/>
                <w:bCs/>
                <w:spacing w:val="-3"/>
                <w:szCs w:val="20"/>
              </w:rPr>
              <w:t>9</w:t>
            </w:r>
          </w:p>
        </w:tc>
        <w:tc>
          <w:tcPr>
            <w:tcW w:w="1329" w:type="dxa"/>
            <w:vAlign w:val="bottom"/>
          </w:tcPr>
          <w:p w14:paraId="7223AADE" w14:textId="7B4F88EB" w:rsidR="00520157" w:rsidRDefault="00520157" w:rsidP="00520157">
            <w:pPr>
              <w:jc w:val="center"/>
              <w:rPr>
                <w:rFonts w:cs="Arial"/>
                <w:szCs w:val="20"/>
              </w:rPr>
            </w:pPr>
            <w:r>
              <w:rPr>
                <w:rFonts w:cs="Arial"/>
                <w:szCs w:val="20"/>
              </w:rPr>
              <w:t>20</w:t>
            </w:r>
          </w:p>
        </w:tc>
        <w:tc>
          <w:tcPr>
            <w:tcW w:w="2279" w:type="dxa"/>
            <w:vAlign w:val="bottom"/>
          </w:tcPr>
          <w:p w14:paraId="5D5F09D9" w14:textId="25B31041" w:rsidR="00520157" w:rsidRDefault="00520157" w:rsidP="00520157">
            <w:pPr>
              <w:jc w:val="center"/>
              <w:rPr>
                <w:rFonts w:cs="Arial"/>
                <w:szCs w:val="20"/>
              </w:rPr>
            </w:pPr>
            <w:r>
              <w:rPr>
                <w:rFonts w:cs="Arial"/>
                <w:szCs w:val="20"/>
              </w:rPr>
              <w:t xml:space="preserve">$2,283,509.70 </w:t>
            </w:r>
          </w:p>
        </w:tc>
        <w:tc>
          <w:tcPr>
            <w:tcW w:w="1715" w:type="dxa"/>
            <w:vAlign w:val="bottom"/>
          </w:tcPr>
          <w:p w14:paraId="2209A5C5" w14:textId="050B6E05" w:rsidR="00520157" w:rsidRDefault="00520157" w:rsidP="00520157">
            <w:pPr>
              <w:jc w:val="center"/>
              <w:rPr>
                <w:rFonts w:cs="Arial"/>
                <w:szCs w:val="20"/>
              </w:rPr>
            </w:pPr>
            <w:r>
              <w:rPr>
                <w:rFonts w:cs="Arial"/>
                <w:szCs w:val="20"/>
              </w:rPr>
              <w:t xml:space="preserve">$114,175.49 </w:t>
            </w:r>
          </w:p>
        </w:tc>
      </w:tr>
      <w:tr w:rsidR="00BE349F" w:rsidRPr="00E05BBA" w14:paraId="7E2A9567" w14:textId="77777777" w:rsidTr="005F63F9">
        <w:trPr>
          <w:trHeight w:val="232"/>
          <w:jc w:val="center"/>
        </w:trPr>
        <w:tc>
          <w:tcPr>
            <w:tcW w:w="3060" w:type="dxa"/>
            <w:vAlign w:val="center"/>
          </w:tcPr>
          <w:p w14:paraId="0F3ED00D" w14:textId="419679E4" w:rsidR="00BE349F" w:rsidRPr="00E05BBA" w:rsidRDefault="00BE349F" w:rsidP="00BE349F">
            <w:pPr>
              <w:rPr>
                <w:rFonts w:cs="Arial"/>
                <w:bCs/>
                <w:szCs w:val="20"/>
              </w:rPr>
            </w:pPr>
            <w:r w:rsidRPr="00E05BBA">
              <w:rPr>
                <w:rFonts w:cs="Arial"/>
                <w:bCs/>
                <w:szCs w:val="20"/>
              </w:rPr>
              <w:t>SPINRAZA 28 MG/5 ML</w:t>
            </w:r>
          </w:p>
        </w:tc>
        <w:tc>
          <w:tcPr>
            <w:tcW w:w="1383" w:type="dxa"/>
            <w:vAlign w:val="center"/>
          </w:tcPr>
          <w:p w14:paraId="77C03260" w14:textId="6249829F"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23597ACC" w14:textId="5C761B55"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3AC8A992" w14:textId="1E8BF709" w:rsidR="00BE349F" w:rsidRPr="00E05BBA" w:rsidRDefault="00311CD2" w:rsidP="00BE349F">
            <w:pPr>
              <w:jc w:val="center"/>
              <w:rPr>
                <w:rFonts w:cs="Arial"/>
                <w:bCs/>
                <w:szCs w:val="20"/>
              </w:rPr>
            </w:pPr>
            <w:r w:rsidRPr="00E05BBA">
              <w:rPr>
                <w:rFonts w:cs="Arial"/>
                <w:bCs/>
                <w:szCs w:val="20"/>
              </w:rPr>
              <w:t>n/a</w:t>
            </w:r>
          </w:p>
        </w:tc>
        <w:tc>
          <w:tcPr>
            <w:tcW w:w="1715" w:type="dxa"/>
            <w:vAlign w:val="bottom"/>
          </w:tcPr>
          <w:p w14:paraId="3F1E0820" w14:textId="555479EE" w:rsidR="00BE349F" w:rsidRPr="00E05BBA" w:rsidRDefault="00311CD2" w:rsidP="00BE349F">
            <w:pPr>
              <w:jc w:val="center"/>
              <w:rPr>
                <w:rFonts w:cs="Arial"/>
                <w:bCs/>
                <w:szCs w:val="20"/>
              </w:rPr>
            </w:pPr>
            <w:r w:rsidRPr="00E05BBA">
              <w:rPr>
                <w:rFonts w:cs="Arial"/>
                <w:bCs/>
                <w:szCs w:val="20"/>
              </w:rPr>
              <w:t>$151,785.17*</w:t>
            </w:r>
          </w:p>
        </w:tc>
      </w:tr>
      <w:tr w:rsidR="00BE349F" w:rsidRPr="00E05BBA" w14:paraId="0038874B" w14:textId="77777777" w:rsidTr="005F63F9">
        <w:trPr>
          <w:trHeight w:val="232"/>
          <w:jc w:val="center"/>
        </w:trPr>
        <w:tc>
          <w:tcPr>
            <w:tcW w:w="3060" w:type="dxa"/>
            <w:vAlign w:val="center"/>
          </w:tcPr>
          <w:p w14:paraId="4C804CF4" w14:textId="4AE585C4" w:rsidR="00BE349F" w:rsidRPr="00E05BBA" w:rsidRDefault="00BE349F" w:rsidP="00BE349F">
            <w:pPr>
              <w:rPr>
                <w:rFonts w:cs="Arial"/>
                <w:bCs/>
                <w:szCs w:val="20"/>
              </w:rPr>
            </w:pPr>
            <w:r w:rsidRPr="00E05BBA">
              <w:rPr>
                <w:rFonts w:cs="Arial"/>
                <w:bCs/>
                <w:szCs w:val="20"/>
              </w:rPr>
              <w:t>SPINRAZA 50 MG/5 ML</w:t>
            </w:r>
          </w:p>
        </w:tc>
        <w:tc>
          <w:tcPr>
            <w:tcW w:w="1383" w:type="dxa"/>
            <w:vAlign w:val="center"/>
          </w:tcPr>
          <w:p w14:paraId="7114FAF0" w14:textId="39250679"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4CEBC245" w14:textId="3A0381BE"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0B88BF4A" w14:textId="6A47CD17" w:rsidR="00BE349F" w:rsidRPr="00E05BBA" w:rsidRDefault="00A860C5" w:rsidP="00BE349F">
            <w:pPr>
              <w:jc w:val="center"/>
              <w:rPr>
                <w:rFonts w:cs="Arial"/>
                <w:bCs/>
                <w:szCs w:val="20"/>
              </w:rPr>
            </w:pPr>
            <w:r w:rsidRPr="00E05BBA">
              <w:rPr>
                <w:rFonts w:cs="Arial"/>
                <w:bCs/>
                <w:szCs w:val="20"/>
              </w:rPr>
              <w:t>n/a</w:t>
            </w:r>
          </w:p>
        </w:tc>
        <w:tc>
          <w:tcPr>
            <w:tcW w:w="1715" w:type="dxa"/>
            <w:vAlign w:val="bottom"/>
          </w:tcPr>
          <w:p w14:paraId="181F34C7" w14:textId="2C2DC0F1" w:rsidR="00BE349F" w:rsidRPr="00E05BBA" w:rsidRDefault="00A860C5" w:rsidP="00BE349F">
            <w:pPr>
              <w:jc w:val="center"/>
              <w:rPr>
                <w:rFonts w:cs="Arial"/>
                <w:bCs/>
                <w:szCs w:val="20"/>
              </w:rPr>
            </w:pPr>
            <w:r w:rsidRPr="00E05BBA">
              <w:rPr>
                <w:rFonts w:cs="Arial"/>
                <w:bCs/>
                <w:szCs w:val="20"/>
              </w:rPr>
              <w:t>$271,044.95*</w:t>
            </w:r>
          </w:p>
        </w:tc>
      </w:tr>
      <w:tr w:rsidR="003F22EF" w:rsidRPr="00902CF9" w14:paraId="4CDB77D8" w14:textId="77777777" w:rsidTr="005F63F9">
        <w:trPr>
          <w:trHeight w:val="232"/>
          <w:jc w:val="center"/>
        </w:trPr>
        <w:tc>
          <w:tcPr>
            <w:tcW w:w="3060" w:type="dxa"/>
            <w:vAlign w:val="center"/>
          </w:tcPr>
          <w:p w14:paraId="1E9C4538" w14:textId="1A9184B2" w:rsidR="003F22EF" w:rsidRPr="001B78D7" w:rsidRDefault="003F22EF" w:rsidP="003F22EF">
            <w:pPr>
              <w:rPr>
                <w:rFonts w:cs="Arial"/>
                <w:bCs/>
                <w:szCs w:val="20"/>
              </w:rPr>
            </w:pPr>
            <w:r w:rsidRPr="001B78D7">
              <w:rPr>
                <w:rFonts w:cs="Arial"/>
                <w:bCs/>
                <w:szCs w:val="20"/>
              </w:rPr>
              <w:t>ZOLGENSMA KIT</w:t>
            </w:r>
          </w:p>
        </w:tc>
        <w:tc>
          <w:tcPr>
            <w:tcW w:w="1383" w:type="dxa"/>
            <w:vAlign w:val="center"/>
          </w:tcPr>
          <w:p w14:paraId="6C184A4F" w14:textId="0415A6E5" w:rsidR="003F22EF" w:rsidRDefault="00F85EE0" w:rsidP="003F22EF">
            <w:pPr>
              <w:jc w:val="center"/>
              <w:rPr>
                <w:rFonts w:cs="Arial"/>
                <w:bCs/>
                <w:spacing w:val="-3"/>
                <w:szCs w:val="20"/>
              </w:rPr>
            </w:pPr>
            <w:r>
              <w:rPr>
                <w:rFonts w:cs="Arial"/>
                <w:bCs/>
                <w:spacing w:val="-3"/>
                <w:szCs w:val="20"/>
              </w:rPr>
              <w:t>2</w:t>
            </w:r>
          </w:p>
        </w:tc>
        <w:tc>
          <w:tcPr>
            <w:tcW w:w="1329" w:type="dxa"/>
            <w:vAlign w:val="center"/>
          </w:tcPr>
          <w:p w14:paraId="7AE7B826" w14:textId="3ED4BFBC" w:rsidR="003F22EF" w:rsidRPr="001B78D7" w:rsidRDefault="005C2E6F" w:rsidP="003F22EF">
            <w:pPr>
              <w:jc w:val="center"/>
              <w:rPr>
                <w:rFonts w:cs="Arial"/>
                <w:szCs w:val="20"/>
              </w:rPr>
            </w:pPr>
            <w:r>
              <w:rPr>
                <w:rFonts w:cs="Arial"/>
                <w:spacing w:val="-3"/>
                <w:szCs w:val="20"/>
              </w:rPr>
              <w:t>2</w:t>
            </w:r>
          </w:p>
        </w:tc>
        <w:tc>
          <w:tcPr>
            <w:tcW w:w="2279" w:type="dxa"/>
            <w:vAlign w:val="center"/>
          </w:tcPr>
          <w:p w14:paraId="269088F6" w14:textId="0F53CB02"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c>
          <w:tcPr>
            <w:tcW w:w="1715" w:type="dxa"/>
            <w:vAlign w:val="center"/>
          </w:tcPr>
          <w:p w14:paraId="11E30249" w14:textId="738238EB"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r>
      <w:tr w:rsidR="00A14D7F" w:rsidRPr="00902CF9" w14:paraId="7E96B07D" w14:textId="77777777" w:rsidTr="005F63F9">
        <w:trPr>
          <w:trHeight w:val="232"/>
          <w:jc w:val="center"/>
        </w:trPr>
        <w:tc>
          <w:tcPr>
            <w:tcW w:w="3060" w:type="dxa"/>
            <w:vAlign w:val="center"/>
          </w:tcPr>
          <w:p w14:paraId="5BE20CCF" w14:textId="117940F6" w:rsidR="00A14D7F" w:rsidRPr="001B78D7" w:rsidRDefault="00A14D7F" w:rsidP="00A14D7F">
            <w:pPr>
              <w:rPr>
                <w:rFonts w:cs="Arial"/>
                <w:bCs/>
                <w:szCs w:val="20"/>
              </w:rPr>
            </w:pPr>
            <w:r>
              <w:rPr>
                <w:rFonts w:cs="Arial"/>
                <w:bCs/>
                <w:szCs w:val="20"/>
              </w:rPr>
              <w:t>ITVISMA KIT</w:t>
            </w:r>
          </w:p>
        </w:tc>
        <w:tc>
          <w:tcPr>
            <w:tcW w:w="1383" w:type="dxa"/>
            <w:vAlign w:val="center"/>
          </w:tcPr>
          <w:p w14:paraId="0A123AF8" w14:textId="5CA5E931" w:rsidR="00A14D7F" w:rsidRDefault="00F85EE0" w:rsidP="00A14D7F">
            <w:pPr>
              <w:jc w:val="center"/>
              <w:rPr>
                <w:rFonts w:cs="Arial"/>
                <w:bCs/>
                <w:spacing w:val="-3"/>
                <w:szCs w:val="20"/>
              </w:rPr>
            </w:pPr>
            <w:r>
              <w:rPr>
                <w:rFonts w:cs="Arial"/>
                <w:bCs/>
                <w:spacing w:val="-3"/>
                <w:szCs w:val="20"/>
              </w:rPr>
              <w:t>-</w:t>
            </w:r>
          </w:p>
        </w:tc>
        <w:tc>
          <w:tcPr>
            <w:tcW w:w="1329" w:type="dxa"/>
            <w:vAlign w:val="center"/>
          </w:tcPr>
          <w:p w14:paraId="786CE06E" w14:textId="03ED390A" w:rsidR="00A14D7F" w:rsidRDefault="00F85EE0" w:rsidP="00A14D7F">
            <w:pPr>
              <w:jc w:val="center"/>
              <w:rPr>
                <w:rFonts w:cs="Arial"/>
                <w:spacing w:val="-3"/>
                <w:szCs w:val="20"/>
              </w:rPr>
            </w:pPr>
            <w:r>
              <w:rPr>
                <w:rFonts w:cs="Arial"/>
                <w:spacing w:val="-3"/>
                <w:szCs w:val="20"/>
              </w:rPr>
              <w:t>-</w:t>
            </w:r>
          </w:p>
        </w:tc>
        <w:tc>
          <w:tcPr>
            <w:tcW w:w="2279" w:type="dxa"/>
            <w:vAlign w:val="center"/>
          </w:tcPr>
          <w:p w14:paraId="03EADFD7" w14:textId="134190C9" w:rsidR="00A14D7F" w:rsidRPr="003623C8" w:rsidRDefault="00A14D7F" w:rsidP="00A14D7F">
            <w:pPr>
              <w:jc w:val="center"/>
              <w:rPr>
                <w:rFonts w:cs="Arial"/>
                <w:spacing w:val="-3"/>
                <w:szCs w:val="20"/>
              </w:rPr>
            </w:pPr>
            <w:r>
              <w:rPr>
                <w:rFonts w:cs="Arial"/>
                <w:spacing w:val="-3"/>
                <w:szCs w:val="20"/>
              </w:rPr>
              <w:t>n/a</w:t>
            </w:r>
          </w:p>
        </w:tc>
        <w:tc>
          <w:tcPr>
            <w:tcW w:w="1715" w:type="dxa"/>
            <w:vAlign w:val="center"/>
          </w:tcPr>
          <w:p w14:paraId="6499E297" w14:textId="22482A97" w:rsidR="00A14D7F" w:rsidRPr="003623C8" w:rsidRDefault="00A14D7F" w:rsidP="00A14D7F">
            <w:pPr>
              <w:jc w:val="center"/>
              <w:rPr>
                <w:rFonts w:cs="Arial"/>
                <w:spacing w:val="-3"/>
                <w:szCs w:val="20"/>
              </w:rPr>
            </w:pPr>
            <w:r w:rsidRPr="00A248CD">
              <w:rPr>
                <w:rFonts w:cs="Arial"/>
                <w:szCs w:val="20"/>
              </w:rPr>
              <w:t>$</w:t>
            </w:r>
            <w:r w:rsidR="0063012A" w:rsidRPr="0063012A">
              <w:rPr>
                <w:rFonts w:cs="Arial"/>
                <w:szCs w:val="20"/>
              </w:rPr>
              <w:t>2,664,228</w:t>
            </w:r>
            <w:r>
              <w:rPr>
                <w:rFonts w:cs="Arial"/>
                <w:szCs w:val="20"/>
              </w:rPr>
              <w:t>*</w:t>
            </w:r>
          </w:p>
        </w:tc>
      </w:tr>
    </w:tbl>
    <w:p w14:paraId="4691DC98" w14:textId="5AEBD61B" w:rsidR="003D4704" w:rsidRDefault="00DC039E" w:rsidP="003D4704">
      <w:pPr>
        <w:rPr>
          <w:rFonts w:cs="Arial"/>
          <w:sz w:val="16"/>
          <w:szCs w:val="16"/>
        </w:rPr>
      </w:pPr>
      <w:r w:rsidRPr="00DC039E">
        <w:rPr>
          <w:rFonts w:cs="Arial"/>
          <w:sz w:val="16"/>
          <w:szCs w:val="16"/>
        </w:rPr>
        <w:t>*Pricing presented at WAC to protect 340B price</w:t>
      </w:r>
    </w:p>
    <w:p w14:paraId="5A56BD3C" w14:textId="77777777" w:rsidR="00DC039E" w:rsidRPr="00DC039E" w:rsidRDefault="00DC039E" w:rsidP="003D4704">
      <w:pPr>
        <w:rPr>
          <w:rFonts w:cs="Arial"/>
          <w:sz w:val="16"/>
          <w:szCs w:val="16"/>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C107A1E" w:rsidR="0097028A" w:rsidRPr="0079438F" w:rsidRDefault="0097028A" w:rsidP="00696E3A">
      <w:pPr>
        <w:rPr>
          <w:b/>
        </w:rPr>
      </w:pPr>
      <w:r w:rsidRPr="00696E3A">
        <w:rPr>
          <w:b/>
          <w:bCs/>
        </w:rPr>
        <w:t>Drug class for review:</w:t>
      </w:r>
      <w:r w:rsidRPr="00C02553">
        <w:t xml:space="preserve">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79406FCE" w14:textId="77777777" w:rsidR="00652E66" w:rsidRPr="000766F8" w:rsidRDefault="00652E66" w:rsidP="00652E66">
      <w:pPr>
        <w:pStyle w:val="ListParagraph"/>
        <w:numPr>
          <w:ilvl w:val="0"/>
          <w:numId w:val="22"/>
        </w:numPr>
        <w:rPr>
          <w:rFonts w:cs="Arial"/>
          <w:szCs w:val="20"/>
        </w:rPr>
      </w:pPr>
      <w:r w:rsidRPr="000766F8">
        <w:rPr>
          <w:rFonts w:cs="Arial"/>
          <w:szCs w:val="20"/>
        </w:rPr>
        <w:t>Approval criteria for Evrysdi or Spinraza:</w:t>
      </w:r>
    </w:p>
    <w:p w14:paraId="380E3CE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Must meet all of the following:</w:t>
      </w:r>
    </w:p>
    <w:p w14:paraId="1543488E"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Prescribed by or in consultation with a neurologist or other specialist in the treated disease state;</w:t>
      </w:r>
    </w:p>
    <w:p w14:paraId="514332DF"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Documentation of a confirmed diagnosis of SMA including genetic tests of 5q13 demonstrating one of the following:</w:t>
      </w:r>
    </w:p>
    <w:p w14:paraId="1A03733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Homozygous </w:t>
      </w:r>
      <w:r w:rsidRPr="00DD3653">
        <w:rPr>
          <w:rFonts w:cs="Arial"/>
          <w:i/>
          <w:iCs/>
          <w:szCs w:val="20"/>
        </w:rPr>
        <w:t>SMN1</w:t>
      </w:r>
      <w:r w:rsidRPr="00DD3653">
        <w:rPr>
          <w:rFonts w:cs="Arial"/>
          <w:szCs w:val="20"/>
        </w:rPr>
        <w:t xml:space="preserve"> gene deletion or mutation; </w:t>
      </w:r>
      <w:r w:rsidRPr="00DD3653">
        <w:rPr>
          <w:rFonts w:cs="Arial"/>
          <w:b/>
          <w:bCs/>
          <w:szCs w:val="20"/>
        </w:rPr>
        <w:t>OR</w:t>
      </w:r>
    </w:p>
    <w:p w14:paraId="11672B5F"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Compound heterozygous </w:t>
      </w:r>
      <w:r w:rsidRPr="00DD3653">
        <w:rPr>
          <w:rFonts w:cs="Arial"/>
          <w:i/>
          <w:iCs/>
          <w:szCs w:val="20"/>
        </w:rPr>
        <w:t>SMN1</w:t>
      </w:r>
      <w:r w:rsidRPr="00DD3653">
        <w:rPr>
          <w:rFonts w:cs="Arial"/>
          <w:szCs w:val="20"/>
        </w:rPr>
        <w:t xml:space="preserve"> gene mutation;</w:t>
      </w:r>
    </w:p>
    <w:p w14:paraId="3DF785B2"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 xml:space="preserve">Sufficient number of copies of </w:t>
      </w:r>
      <w:r w:rsidRPr="00DD3653">
        <w:rPr>
          <w:rFonts w:cs="Arial"/>
          <w:i/>
          <w:iCs/>
          <w:szCs w:val="20"/>
        </w:rPr>
        <w:t>SMN2</w:t>
      </w:r>
      <w:r w:rsidRPr="00DD3653">
        <w:rPr>
          <w:rFonts w:cs="Arial"/>
          <w:szCs w:val="20"/>
        </w:rPr>
        <w:t xml:space="preserve"> gene defined as one of the following (either 2a or 2b) genetic tests demonstrating:</w:t>
      </w:r>
    </w:p>
    <w:p w14:paraId="5BD0E19E"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If a pre-symptomatic infant: ≤ 3 copies of </w:t>
      </w:r>
      <w:r w:rsidRPr="00DD3653">
        <w:rPr>
          <w:rFonts w:cs="Arial"/>
          <w:i/>
          <w:iCs/>
          <w:szCs w:val="20"/>
        </w:rPr>
        <w:t>SMN2</w:t>
      </w:r>
      <w:r w:rsidRPr="00DD3653">
        <w:rPr>
          <w:rFonts w:cs="Arial"/>
          <w:szCs w:val="20"/>
        </w:rPr>
        <w:t xml:space="preserve"> gene; </w:t>
      </w:r>
      <w:r w:rsidRPr="00DD3653">
        <w:rPr>
          <w:rFonts w:cs="Arial"/>
          <w:b/>
          <w:bCs/>
          <w:szCs w:val="20"/>
        </w:rPr>
        <w:t>OR</w:t>
      </w:r>
    </w:p>
    <w:p w14:paraId="776C501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If a symptomatic patient:</w:t>
      </w:r>
    </w:p>
    <w:p w14:paraId="1148D567"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 2 copies of </w:t>
      </w:r>
      <w:r w:rsidRPr="00DD3653">
        <w:rPr>
          <w:rFonts w:cs="Arial"/>
          <w:i/>
          <w:iCs/>
          <w:szCs w:val="20"/>
        </w:rPr>
        <w:t>SMN2</w:t>
      </w:r>
      <w:r w:rsidRPr="00DD3653">
        <w:rPr>
          <w:rFonts w:cs="Arial"/>
          <w:szCs w:val="20"/>
        </w:rPr>
        <w:t xml:space="preserve"> gene; </w:t>
      </w:r>
      <w:r w:rsidRPr="00DD3653">
        <w:rPr>
          <w:rFonts w:cs="Arial"/>
          <w:b/>
          <w:bCs/>
          <w:szCs w:val="20"/>
        </w:rPr>
        <w:t>AND</w:t>
      </w:r>
    </w:p>
    <w:p w14:paraId="322F847F"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Documentation of age of onset of symptoms; </w:t>
      </w:r>
      <w:r w:rsidRPr="00DD3653">
        <w:rPr>
          <w:rFonts w:cs="Arial"/>
          <w:b/>
          <w:bCs/>
          <w:szCs w:val="20"/>
        </w:rPr>
        <w:t>AND</w:t>
      </w:r>
    </w:p>
    <w:p w14:paraId="63FAB8D4"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Clinical baseline documentation required:</w:t>
      </w:r>
    </w:p>
    <w:p w14:paraId="24917BCD"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&lt; 3 years: Hammersmith Infant Neurological Exam-Part 2 (HINE-2);</w:t>
      </w:r>
    </w:p>
    <w:p w14:paraId="7C4738B1"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 3 years: Hammersmith Functional Motor Scale Expanded (HFMSE);</w:t>
      </w:r>
    </w:p>
    <w:p w14:paraId="5356DA9B"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For all participants: </w:t>
      </w:r>
    </w:p>
    <w:p w14:paraId="460D5356"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Pulmonary status (tracheostomy, hrs of ventilation, CPAP, etc.); </w:t>
      </w:r>
      <w:r w:rsidRPr="00DD3653">
        <w:rPr>
          <w:rFonts w:cs="Arial"/>
          <w:b/>
          <w:bCs/>
          <w:szCs w:val="20"/>
        </w:rPr>
        <w:t>AND</w:t>
      </w:r>
    </w:p>
    <w:p w14:paraId="0842DAB8" w14:textId="77777777" w:rsidR="00652E66" w:rsidRDefault="00652E66" w:rsidP="00652E66">
      <w:pPr>
        <w:pStyle w:val="ListParagraph"/>
        <w:numPr>
          <w:ilvl w:val="4"/>
          <w:numId w:val="22"/>
        </w:numPr>
        <w:ind w:left="1800"/>
        <w:rPr>
          <w:rFonts w:cs="Arial"/>
          <w:szCs w:val="20"/>
        </w:rPr>
      </w:pPr>
      <w:r>
        <w:rPr>
          <w:rFonts w:cs="Arial"/>
          <w:szCs w:val="20"/>
        </w:rPr>
        <w:t>One of the following:</w:t>
      </w:r>
    </w:p>
    <w:p w14:paraId="07CD7B78"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Motor Function Measure 32 (MFM-32);</w:t>
      </w:r>
    </w:p>
    <w:p w14:paraId="71066E07"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ambulatory patients: 6 Minute Walk Test (6MWT);</w:t>
      </w:r>
      <w:r>
        <w:rPr>
          <w:rFonts w:cs="Arial"/>
          <w:szCs w:val="20"/>
        </w:rPr>
        <w:t xml:space="preserve"> </w:t>
      </w:r>
      <w:r>
        <w:rPr>
          <w:rFonts w:cs="Arial"/>
          <w:b/>
          <w:bCs/>
          <w:szCs w:val="20"/>
        </w:rPr>
        <w:t>OR</w:t>
      </w:r>
    </w:p>
    <w:p w14:paraId="1EB7EEAB"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non-ambulatory patients: Revised Upper Limb Module (RULM) Score</w:t>
      </w:r>
      <w:r>
        <w:rPr>
          <w:rFonts w:cs="Arial"/>
          <w:szCs w:val="20"/>
        </w:rPr>
        <w:t>.</w:t>
      </w:r>
    </w:p>
    <w:p w14:paraId="114BCDCC"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Additional approval criteria for Spinraza:</w:t>
      </w:r>
    </w:p>
    <w:p w14:paraId="2422BD03" w14:textId="77777777" w:rsidR="00652E66" w:rsidRPr="000766F8" w:rsidRDefault="00652E66" w:rsidP="00652E66">
      <w:pPr>
        <w:pStyle w:val="ListParagraph"/>
        <w:numPr>
          <w:ilvl w:val="2"/>
          <w:numId w:val="22"/>
        </w:numPr>
        <w:ind w:left="1080"/>
        <w:rPr>
          <w:rFonts w:cs="Arial"/>
          <w:szCs w:val="20"/>
        </w:rPr>
      </w:pPr>
      <w:r>
        <w:rPr>
          <w:rFonts w:cs="Arial"/>
          <w:szCs w:val="20"/>
        </w:rPr>
        <w:t xml:space="preserve">Documented baseline of all of the following: </w:t>
      </w:r>
      <w:r w:rsidRPr="000766F8">
        <w:rPr>
          <w:rFonts w:cs="Arial"/>
          <w:szCs w:val="20"/>
        </w:rPr>
        <w:t>Complete blood count, coagulation status, urine protein, serum electrolytes including bicarbonate, liver and renal function tests.</w:t>
      </w:r>
    </w:p>
    <w:p w14:paraId="63B9F4E1"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Additional approval criteria for Evrysdi:</w:t>
      </w:r>
    </w:p>
    <w:p w14:paraId="6FF43EF1"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Participant (female of appropriate age) must utilize concurrent birth control methods during and for 1-month post-treatment.</w:t>
      </w:r>
    </w:p>
    <w:p w14:paraId="081F904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Initial approval period for Evrysdi and Spinraza: 6 months</w:t>
      </w:r>
    </w:p>
    <w:p w14:paraId="3DEE967C" w14:textId="77777777" w:rsidR="00652E66" w:rsidRDefault="00652E66" w:rsidP="00652E66">
      <w:pPr>
        <w:pStyle w:val="ListParagraph"/>
        <w:numPr>
          <w:ilvl w:val="0"/>
          <w:numId w:val="0"/>
        </w:numPr>
        <w:ind w:left="360"/>
        <w:rPr>
          <w:rFonts w:cs="Arial"/>
          <w:szCs w:val="20"/>
        </w:rPr>
      </w:pPr>
    </w:p>
    <w:p w14:paraId="050FF0B6" w14:textId="77777777" w:rsidR="00652E66" w:rsidRPr="000766F8" w:rsidRDefault="00652E66" w:rsidP="00652E66">
      <w:pPr>
        <w:pStyle w:val="ListParagraph"/>
        <w:numPr>
          <w:ilvl w:val="0"/>
          <w:numId w:val="22"/>
        </w:numPr>
        <w:rPr>
          <w:rFonts w:cs="Arial"/>
          <w:szCs w:val="20"/>
        </w:rPr>
      </w:pPr>
      <w:r w:rsidRPr="000766F8">
        <w:rPr>
          <w:rFonts w:cs="Arial"/>
          <w:szCs w:val="20"/>
        </w:rPr>
        <w:t xml:space="preserve">Approval criteria for Zolgensma: </w:t>
      </w:r>
    </w:p>
    <w:p w14:paraId="4F922B8A" w14:textId="77777777" w:rsidR="00652E66" w:rsidRPr="0000452C" w:rsidRDefault="00652E66" w:rsidP="00652E66">
      <w:pPr>
        <w:pStyle w:val="ListParagraph"/>
        <w:numPr>
          <w:ilvl w:val="1"/>
          <w:numId w:val="22"/>
        </w:numPr>
        <w:ind w:left="720"/>
        <w:rPr>
          <w:rFonts w:cs="Arial"/>
          <w:szCs w:val="20"/>
        </w:rPr>
      </w:pPr>
      <w:r w:rsidRPr="0000452C">
        <w:rPr>
          <w:rFonts w:cs="Arial"/>
          <w:szCs w:val="20"/>
        </w:rPr>
        <w:t>Prescribed by or in consultation with a neurologist or other specialist in the treated disease state;</w:t>
      </w:r>
    </w:p>
    <w:p w14:paraId="359D3A8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lastRenderedPageBreak/>
        <w:t>Participant aged &lt; 2 years;</w:t>
      </w:r>
    </w:p>
    <w:p w14:paraId="6BDB2E5F"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diagnosis of SMA with bi-allelic mutations in the </w:t>
      </w:r>
      <w:r w:rsidRPr="00782F60">
        <w:rPr>
          <w:rFonts w:cs="Arial"/>
          <w:i/>
          <w:iCs/>
          <w:szCs w:val="20"/>
        </w:rPr>
        <w:t>SMN1</w:t>
      </w:r>
      <w:r w:rsidRPr="000766F8">
        <w:rPr>
          <w:rFonts w:cs="Arial"/>
          <w:szCs w:val="20"/>
        </w:rPr>
        <w:t xml:space="preserve"> gene;</w:t>
      </w:r>
    </w:p>
    <w:p w14:paraId="528EF0D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Documented anti-AAV9 antibody titers of ≤ 1:50 measured by ELISA at time of treatment;</w:t>
      </w:r>
      <w:r>
        <w:rPr>
          <w:rFonts w:cs="Arial"/>
          <w:szCs w:val="20"/>
        </w:rPr>
        <w:t xml:space="preserve"> </w:t>
      </w:r>
      <w:r w:rsidRPr="00782F60">
        <w:rPr>
          <w:rFonts w:cs="Arial"/>
          <w:b/>
          <w:bCs/>
          <w:szCs w:val="20"/>
        </w:rPr>
        <w:t>AND</w:t>
      </w:r>
    </w:p>
    <w:p w14:paraId="50BA4B89"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completion of all </w:t>
      </w:r>
      <w:r>
        <w:rPr>
          <w:rFonts w:cs="Arial"/>
          <w:szCs w:val="20"/>
        </w:rPr>
        <w:t xml:space="preserve">the following </w:t>
      </w:r>
      <w:r w:rsidRPr="000766F8">
        <w:rPr>
          <w:rFonts w:cs="Arial"/>
          <w:szCs w:val="20"/>
        </w:rPr>
        <w:t>baseline assessments:</w:t>
      </w:r>
    </w:p>
    <w:p w14:paraId="15F0A209"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Liver function tests (AST, ALT, total bilirubin, and prothrombin time);</w:t>
      </w:r>
    </w:p>
    <w:p w14:paraId="4B84EFE3"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Serum creatinine;</w:t>
      </w:r>
    </w:p>
    <w:p w14:paraId="45F3AF48"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 xml:space="preserve">Complete blood count (CBC) including hemoglobin and platelets; </w:t>
      </w:r>
      <w:r w:rsidRPr="00782F60">
        <w:rPr>
          <w:rFonts w:cs="Arial"/>
          <w:b/>
          <w:bCs/>
          <w:szCs w:val="20"/>
        </w:rPr>
        <w:t>AND</w:t>
      </w:r>
    </w:p>
    <w:p w14:paraId="30983280"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Troponin-I levels.</w:t>
      </w:r>
    </w:p>
    <w:p w14:paraId="59D62E11" w14:textId="77777777" w:rsidR="00652E66" w:rsidRDefault="00652E66" w:rsidP="00652E66">
      <w:pPr>
        <w:pStyle w:val="ListParagraph"/>
        <w:numPr>
          <w:ilvl w:val="1"/>
          <w:numId w:val="22"/>
        </w:numPr>
        <w:ind w:left="720"/>
        <w:rPr>
          <w:rFonts w:cs="Arial"/>
          <w:szCs w:val="20"/>
        </w:rPr>
      </w:pPr>
      <w:r w:rsidRPr="000766F8">
        <w:rPr>
          <w:rFonts w:cs="Arial"/>
          <w:szCs w:val="20"/>
        </w:rPr>
        <w:t xml:space="preserve">Zolgensma approval is for </w:t>
      </w:r>
      <w:r>
        <w:rPr>
          <w:rFonts w:cs="Arial"/>
          <w:szCs w:val="20"/>
        </w:rPr>
        <w:t xml:space="preserve">one time administration of </w:t>
      </w:r>
      <w:r w:rsidRPr="000766F8">
        <w:rPr>
          <w:rFonts w:cs="Arial"/>
          <w:szCs w:val="20"/>
        </w:rPr>
        <w:t>one kit.</w:t>
      </w:r>
    </w:p>
    <w:p w14:paraId="42E2B574" w14:textId="77777777" w:rsidR="003312DA" w:rsidRDefault="003312DA" w:rsidP="003312DA">
      <w:pPr>
        <w:pStyle w:val="ListParagraph"/>
        <w:numPr>
          <w:ilvl w:val="0"/>
          <w:numId w:val="0"/>
        </w:numPr>
        <w:ind w:left="720"/>
        <w:rPr>
          <w:rFonts w:cs="Arial"/>
          <w:szCs w:val="20"/>
        </w:rPr>
      </w:pPr>
    </w:p>
    <w:p w14:paraId="313B4F73" w14:textId="15688B2A" w:rsidR="00350B96" w:rsidRPr="00350B96" w:rsidRDefault="003312DA" w:rsidP="00350B96">
      <w:pPr>
        <w:pStyle w:val="ListParagraph"/>
        <w:numPr>
          <w:ilvl w:val="0"/>
          <w:numId w:val="22"/>
        </w:numPr>
        <w:rPr>
          <w:rFonts w:cs="Arial"/>
          <w:b/>
          <w:bCs/>
          <w:color w:val="1F497D" w:themeColor="text2"/>
          <w:szCs w:val="20"/>
        </w:rPr>
      </w:pPr>
      <w:r w:rsidRPr="003312DA">
        <w:rPr>
          <w:rFonts w:cs="Arial"/>
          <w:b/>
          <w:bCs/>
          <w:color w:val="1F497D" w:themeColor="text2"/>
          <w:szCs w:val="20"/>
        </w:rPr>
        <w:t xml:space="preserve">Approval criteria for </w:t>
      </w:r>
      <w:proofErr w:type="spellStart"/>
      <w:r w:rsidRPr="003312DA">
        <w:rPr>
          <w:rFonts w:cs="Arial"/>
          <w:b/>
          <w:bCs/>
          <w:color w:val="1F497D" w:themeColor="text2"/>
          <w:szCs w:val="20"/>
        </w:rPr>
        <w:t>Itvisma</w:t>
      </w:r>
      <w:proofErr w:type="spellEnd"/>
      <w:r w:rsidR="007833E5">
        <w:rPr>
          <w:rFonts w:cs="Arial"/>
          <w:b/>
          <w:bCs/>
          <w:color w:val="1F497D" w:themeColor="text2"/>
          <w:szCs w:val="20"/>
        </w:rPr>
        <w:t xml:space="preserve"> – </w:t>
      </w:r>
      <w:r w:rsidR="00350B96" w:rsidRPr="00350B96">
        <w:rPr>
          <w:rFonts w:cs="Arial"/>
          <w:b/>
          <w:bCs/>
          <w:color w:val="1F497D" w:themeColor="text2"/>
          <w:szCs w:val="20"/>
        </w:rPr>
        <w:t xml:space="preserve">Must meet </w:t>
      </w:r>
      <w:proofErr w:type="gramStart"/>
      <w:r w:rsidR="00350B96" w:rsidRPr="00350B96">
        <w:rPr>
          <w:rFonts w:cs="Arial"/>
          <w:b/>
          <w:bCs/>
          <w:color w:val="1F497D" w:themeColor="text2"/>
          <w:szCs w:val="20"/>
        </w:rPr>
        <w:t>all of</w:t>
      </w:r>
      <w:proofErr w:type="gramEnd"/>
      <w:r w:rsidR="00350B96" w:rsidRPr="00350B96">
        <w:rPr>
          <w:rFonts w:cs="Arial"/>
          <w:b/>
          <w:bCs/>
          <w:color w:val="1F497D" w:themeColor="text2"/>
          <w:szCs w:val="20"/>
        </w:rPr>
        <w:t xml:space="preserve"> the following:</w:t>
      </w:r>
    </w:p>
    <w:p w14:paraId="4B63B5A9"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Prescribed by or in consultation with a neurologist or other specialist in the treated disease state;</w:t>
      </w:r>
    </w:p>
    <w:p w14:paraId="4B3CF34A" w14:textId="59C4FF52"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Participant aged ≥ 2 years</w:t>
      </w:r>
      <w:r w:rsidR="00FB6D84" w:rsidRPr="00113EA9">
        <w:rPr>
          <w:rFonts w:cs="Arial"/>
          <w:b/>
          <w:bCs/>
          <w:color w:val="1F497D" w:themeColor="text2"/>
          <w:szCs w:val="20"/>
        </w:rPr>
        <w:t>;</w:t>
      </w:r>
    </w:p>
    <w:p w14:paraId="7C4E4CC6"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diagnosis of SMA including genetic tests of 5q13 demonstrating one of the following:</w:t>
      </w:r>
    </w:p>
    <w:p w14:paraId="62E44189"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Homozygous </w:t>
      </w:r>
      <w:r w:rsidRPr="00254A51">
        <w:rPr>
          <w:rFonts w:cs="Arial"/>
          <w:b/>
          <w:bCs/>
          <w:i/>
          <w:iCs/>
          <w:color w:val="1F497D" w:themeColor="text2"/>
          <w:szCs w:val="20"/>
        </w:rPr>
        <w:t>SMN1</w:t>
      </w:r>
      <w:r w:rsidRPr="00350B96">
        <w:rPr>
          <w:rFonts w:cs="Arial"/>
          <w:b/>
          <w:bCs/>
          <w:color w:val="1F497D" w:themeColor="text2"/>
          <w:szCs w:val="20"/>
        </w:rPr>
        <w:t xml:space="preserve"> gene deletion or mutation; OR</w:t>
      </w:r>
    </w:p>
    <w:p w14:paraId="69B31D7A" w14:textId="57E1CB76" w:rsid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Compound heterozygous </w:t>
      </w:r>
      <w:r w:rsidRPr="00254A51">
        <w:rPr>
          <w:rFonts w:cs="Arial"/>
          <w:b/>
          <w:bCs/>
          <w:i/>
          <w:iCs/>
          <w:color w:val="1F497D" w:themeColor="text2"/>
          <w:szCs w:val="20"/>
        </w:rPr>
        <w:t>SMN1</w:t>
      </w:r>
      <w:r w:rsidRPr="00350B96">
        <w:rPr>
          <w:rFonts w:cs="Arial"/>
          <w:b/>
          <w:bCs/>
          <w:color w:val="1F497D" w:themeColor="text2"/>
          <w:szCs w:val="20"/>
        </w:rPr>
        <w:t xml:space="preserve"> gene mutation;</w:t>
      </w:r>
    </w:p>
    <w:p w14:paraId="4EBA8A2E" w14:textId="6E8724BF" w:rsidR="005F070E" w:rsidRPr="00113EA9" w:rsidRDefault="005F070E" w:rsidP="00113EA9">
      <w:pPr>
        <w:pStyle w:val="ListParagraph"/>
        <w:numPr>
          <w:ilvl w:val="1"/>
          <w:numId w:val="22"/>
        </w:numPr>
        <w:ind w:left="720"/>
        <w:rPr>
          <w:rFonts w:cs="Arial"/>
          <w:b/>
          <w:bCs/>
          <w:color w:val="1F497D" w:themeColor="text2"/>
          <w:szCs w:val="20"/>
        </w:rPr>
      </w:pPr>
      <w:r w:rsidRPr="00113EA9">
        <w:rPr>
          <w:rFonts w:cs="Arial"/>
          <w:b/>
          <w:bCs/>
          <w:color w:val="1F497D" w:themeColor="text2"/>
          <w:szCs w:val="20"/>
        </w:rPr>
        <w:t xml:space="preserve">Documentation of genetic tests demonstrating ≤ 3 copies of </w:t>
      </w:r>
      <w:r w:rsidRPr="00113EA9">
        <w:rPr>
          <w:rFonts w:cs="Arial"/>
          <w:b/>
          <w:bCs/>
          <w:i/>
          <w:iCs/>
          <w:color w:val="1F497D" w:themeColor="text2"/>
          <w:szCs w:val="20"/>
        </w:rPr>
        <w:t>SMN2</w:t>
      </w:r>
      <w:r w:rsidRPr="00113EA9">
        <w:rPr>
          <w:rFonts w:cs="Arial"/>
          <w:b/>
          <w:bCs/>
          <w:color w:val="1F497D" w:themeColor="text2"/>
          <w:szCs w:val="20"/>
        </w:rPr>
        <w:t xml:space="preserve"> gene;</w:t>
      </w:r>
    </w:p>
    <w:p w14:paraId="36FB2830"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 xml:space="preserve">Documented anti-AAV9 antibody titers of ≤ 1:50 measured by ELISA at time of treatment; </w:t>
      </w:r>
    </w:p>
    <w:p w14:paraId="5C418C15"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completion of all the following baseline assessments:</w:t>
      </w:r>
    </w:p>
    <w:p w14:paraId="59A7E8E1"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Liver function tests (AST, ALT, total bilirubin, and prothrombin time);</w:t>
      </w:r>
    </w:p>
    <w:p w14:paraId="199DE51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Serum creatinine;</w:t>
      </w:r>
    </w:p>
    <w:p w14:paraId="596B8085"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Complete blood count (CBC) including hemoglobin and platelets; </w:t>
      </w:r>
    </w:p>
    <w:p w14:paraId="0C2E593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Troponin-I levels;</w:t>
      </w:r>
    </w:p>
    <w:p w14:paraId="69225AB7" w14:textId="6AB4A2B4"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Pulmonary Function Assessment</w:t>
      </w:r>
      <w:r w:rsidR="00DA7307">
        <w:rPr>
          <w:rFonts w:cs="Arial"/>
          <w:b/>
          <w:bCs/>
          <w:color w:val="1F497D" w:themeColor="text2"/>
          <w:szCs w:val="20"/>
        </w:rPr>
        <w:t xml:space="preserve"> (for participants age</w:t>
      </w:r>
      <w:r w:rsidR="002C27ED">
        <w:rPr>
          <w:rFonts w:cs="Arial"/>
          <w:b/>
          <w:bCs/>
          <w:color w:val="1F497D" w:themeColor="text2"/>
          <w:szCs w:val="20"/>
        </w:rPr>
        <w:t xml:space="preserve"> 5 and older)</w:t>
      </w:r>
      <w:r w:rsidRPr="00350B96">
        <w:rPr>
          <w:rFonts w:cs="Arial"/>
          <w:b/>
          <w:bCs/>
          <w:color w:val="1F497D" w:themeColor="text2"/>
          <w:szCs w:val="20"/>
        </w:rPr>
        <w:t>; AND</w:t>
      </w:r>
    </w:p>
    <w:p w14:paraId="0463529E" w14:textId="114455D1"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Must provide one of the</w:t>
      </w:r>
      <w:r w:rsidR="002C27ED">
        <w:rPr>
          <w:rFonts w:cs="Arial"/>
          <w:b/>
          <w:bCs/>
          <w:color w:val="1F497D" w:themeColor="text2"/>
          <w:szCs w:val="20"/>
        </w:rPr>
        <w:t xml:space="preserve"> following</w:t>
      </w:r>
      <w:r w:rsidR="002262E8">
        <w:rPr>
          <w:rFonts w:cs="Arial"/>
          <w:b/>
          <w:bCs/>
          <w:color w:val="1F497D" w:themeColor="text2"/>
          <w:szCs w:val="20"/>
        </w:rPr>
        <w:t xml:space="preserve"> </w:t>
      </w:r>
      <w:r w:rsidR="00AF77AF">
        <w:rPr>
          <w:rFonts w:cs="Arial"/>
          <w:b/>
          <w:bCs/>
          <w:color w:val="1F497D" w:themeColor="text2"/>
          <w:szCs w:val="20"/>
        </w:rPr>
        <w:t>(must be</w:t>
      </w:r>
      <w:r w:rsidR="002262E8">
        <w:rPr>
          <w:rFonts w:cs="Arial"/>
          <w:b/>
          <w:bCs/>
          <w:color w:val="1F497D" w:themeColor="text2"/>
          <w:szCs w:val="20"/>
        </w:rPr>
        <w:t xml:space="preserve"> appropriate for the participant’s</w:t>
      </w:r>
      <w:r w:rsidR="002C27ED">
        <w:rPr>
          <w:rFonts w:cs="Arial"/>
          <w:b/>
          <w:bCs/>
          <w:color w:val="1F497D" w:themeColor="text2"/>
          <w:szCs w:val="20"/>
        </w:rPr>
        <w:t xml:space="preserve"> age</w:t>
      </w:r>
      <w:r w:rsidR="00AF77AF">
        <w:rPr>
          <w:rFonts w:cs="Arial"/>
          <w:b/>
          <w:bCs/>
          <w:color w:val="1F497D" w:themeColor="text2"/>
          <w:szCs w:val="20"/>
        </w:rPr>
        <w:t>)</w:t>
      </w:r>
      <w:r w:rsidRPr="00350B96">
        <w:rPr>
          <w:rFonts w:cs="Arial"/>
          <w:b/>
          <w:bCs/>
          <w:color w:val="1F497D" w:themeColor="text2"/>
          <w:szCs w:val="20"/>
        </w:rPr>
        <w:t>:</w:t>
      </w:r>
    </w:p>
    <w:p w14:paraId="71651F7B"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Children's Hospital of Philadelphia Infant Test of Neuromuscular Disorders (CHOP-INTEND);</w:t>
      </w:r>
    </w:p>
    <w:p w14:paraId="4F75B8B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Hammersmith Functional Motor Scale – Expanded (HFMSE);</w:t>
      </w:r>
    </w:p>
    <w:p w14:paraId="723BB78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Revised Upper Limb Module (RULM) or Upper Limb Module (ULM).</w:t>
      </w:r>
    </w:p>
    <w:p w14:paraId="77FC32E5"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Itvisma approval is for one time administration of one kit.</w:t>
      </w:r>
    </w:p>
    <w:p w14:paraId="1B509DCA" w14:textId="77777777" w:rsidR="00635DDB" w:rsidRPr="002C2C41" w:rsidRDefault="00635DDB" w:rsidP="00635DDB">
      <w:pPr>
        <w:rPr>
          <w:rFonts w:cs="Arial"/>
          <w:szCs w:val="20"/>
        </w:rPr>
      </w:pPr>
    </w:p>
    <w:p w14:paraId="103CBBB2" w14:textId="77B0E45A" w:rsidR="00BE0CA5" w:rsidRPr="001E2EF3" w:rsidRDefault="00BE0CA5" w:rsidP="00BE0CA5">
      <w:pPr>
        <w:tabs>
          <w:tab w:val="left" w:pos="720"/>
        </w:tabs>
        <w:rPr>
          <w:rFonts w:cs="Arial"/>
          <w:b/>
          <w:bCs/>
          <w:szCs w:val="20"/>
        </w:rPr>
      </w:pPr>
      <w:r w:rsidRPr="001E2EF3">
        <w:rPr>
          <w:rFonts w:cs="Arial"/>
          <w:b/>
          <w:bCs/>
          <w:szCs w:val="20"/>
        </w:rPr>
        <w:t>Continuation of Therapy for Evrysdi or Spinraza</w:t>
      </w:r>
      <w:r w:rsidR="001710F2" w:rsidRPr="001E2EF3">
        <w:rPr>
          <w:rFonts w:cs="Arial"/>
          <w:b/>
          <w:bCs/>
          <w:szCs w:val="20"/>
        </w:rPr>
        <w:t>:</w:t>
      </w:r>
    </w:p>
    <w:p w14:paraId="04F957FC" w14:textId="77777777" w:rsidR="00BE0CA5" w:rsidRPr="00FB6D84" w:rsidRDefault="00BE0CA5" w:rsidP="00113EA9">
      <w:pPr>
        <w:pStyle w:val="ListParagraph"/>
      </w:pPr>
      <w:r w:rsidRPr="00FB6D84">
        <w:t>Must meet all of the following:</w:t>
      </w:r>
    </w:p>
    <w:p w14:paraId="6CB11A7D" w14:textId="77777777" w:rsidR="00BE0CA5" w:rsidRPr="00FB6D84" w:rsidRDefault="00BE0CA5" w:rsidP="00113EA9">
      <w:pPr>
        <w:pStyle w:val="ListParagraph"/>
        <w:numPr>
          <w:ilvl w:val="1"/>
          <w:numId w:val="6"/>
        </w:numPr>
      </w:pPr>
      <w:r w:rsidRPr="00FB6D84">
        <w:t xml:space="preserve">Documented compliance on current therapy regimen; </w:t>
      </w:r>
      <w:r w:rsidRPr="00FB6D84">
        <w:rPr>
          <w:b/>
          <w:bCs/>
        </w:rPr>
        <w:t>AND</w:t>
      </w:r>
    </w:p>
    <w:p w14:paraId="6152133C" w14:textId="77777777" w:rsidR="00BE0CA5" w:rsidRPr="00FB6D84" w:rsidRDefault="00BE0CA5" w:rsidP="00113EA9">
      <w:pPr>
        <w:pStyle w:val="ListParagraph"/>
        <w:numPr>
          <w:ilvl w:val="1"/>
          <w:numId w:val="6"/>
        </w:numPr>
      </w:pPr>
      <w:r w:rsidRPr="00FB6D84">
        <w:t>Documentation of benefit from therapy, defined as:</w:t>
      </w:r>
    </w:p>
    <w:p w14:paraId="24B8DF4E" w14:textId="4BFA1FB7" w:rsidR="00BE0CA5" w:rsidRPr="00113EA9" w:rsidRDefault="00BE0CA5" w:rsidP="00113EA9">
      <w:pPr>
        <w:pStyle w:val="ListParagraph"/>
        <w:numPr>
          <w:ilvl w:val="2"/>
          <w:numId w:val="6"/>
        </w:numPr>
        <w:rPr>
          <w:b/>
          <w:bCs/>
          <w:color w:val="1F497D" w:themeColor="text2"/>
        </w:rPr>
      </w:pPr>
      <w:r w:rsidRPr="00FB6D84">
        <w:t xml:space="preserve">Improvement or maintenance of functional status from baseline functional tests </w:t>
      </w:r>
      <w:r w:rsidR="007833E5" w:rsidRPr="003A19F6">
        <w:rPr>
          <w:b/>
          <w:bCs/>
          <w:color w:val="1F497D" w:themeColor="text2"/>
        </w:rPr>
        <w:t xml:space="preserve">as </w:t>
      </w:r>
      <w:r w:rsidR="00FB6D84" w:rsidRPr="00FB6D84">
        <w:rPr>
          <w:b/>
          <w:bCs/>
          <w:color w:val="1F497D" w:themeColor="text2"/>
        </w:rPr>
        <w:t>d</w:t>
      </w:r>
      <w:r w:rsidR="004708F9" w:rsidRPr="00113EA9">
        <w:rPr>
          <w:b/>
          <w:bCs/>
          <w:color w:val="1F497D" w:themeColor="text2"/>
        </w:rPr>
        <w:t>escribed by at least 1 of the following:</w:t>
      </w:r>
      <w:r w:rsidRPr="00113EA9">
        <w:rPr>
          <w:b/>
          <w:bCs/>
          <w:color w:val="1F497D" w:themeColor="text2"/>
        </w:rPr>
        <w:t xml:space="preserve"> </w:t>
      </w:r>
    </w:p>
    <w:p w14:paraId="2BF112D7" w14:textId="77777777" w:rsidR="004708F9" w:rsidRPr="00113EA9" w:rsidRDefault="004708F9" w:rsidP="00113EA9">
      <w:pPr>
        <w:pStyle w:val="ListParagraph"/>
        <w:numPr>
          <w:ilvl w:val="3"/>
          <w:numId w:val="6"/>
        </w:numPr>
        <w:ind w:left="1440"/>
        <w:rPr>
          <w:b/>
          <w:bCs/>
          <w:color w:val="1F497D" w:themeColor="text2"/>
        </w:rPr>
      </w:pPr>
      <w:r w:rsidRPr="00113EA9">
        <w:rPr>
          <w:b/>
          <w:bCs/>
          <w:color w:val="1F497D" w:themeColor="text2"/>
        </w:rPr>
        <w:t>HFMSE: at least 3 points increase in score from pretreatment baseline;</w:t>
      </w:r>
    </w:p>
    <w:p w14:paraId="6FBD9C5B" w14:textId="77777777" w:rsidR="00FB6D84" w:rsidRPr="00113EA9" w:rsidRDefault="004708F9" w:rsidP="00FB6D84">
      <w:pPr>
        <w:pStyle w:val="ListParagraph"/>
        <w:numPr>
          <w:ilvl w:val="3"/>
          <w:numId w:val="6"/>
        </w:numPr>
        <w:ind w:left="1440"/>
        <w:rPr>
          <w:b/>
          <w:bCs/>
          <w:color w:val="1F497D" w:themeColor="text2"/>
        </w:rPr>
      </w:pPr>
      <w:r w:rsidRPr="00113EA9">
        <w:rPr>
          <w:b/>
          <w:bCs/>
          <w:color w:val="1F497D" w:themeColor="text2"/>
        </w:rPr>
        <w:t xml:space="preserve">HINE-2 demonstrates:  </w:t>
      </w:r>
    </w:p>
    <w:p w14:paraId="2F6F21C0" w14:textId="77777777" w:rsidR="00FB6D84" w:rsidRPr="00113EA9" w:rsidRDefault="00FB6D84" w:rsidP="00113EA9">
      <w:pPr>
        <w:pStyle w:val="ListParagraph"/>
        <w:numPr>
          <w:ilvl w:val="4"/>
          <w:numId w:val="6"/>
        </w:numPr>
        <w:ind w:left="1800"/>
        <w:rPr>
          <w:b/>
          <w:bCs/>
          <w:color w:val="1F497D" w:themeColor="text2"/>
        </w:rPr>
      </w:pPr>
      <w:r w:rsidRPr="00113EA9">
        <w:rPr>
          <w:b/>
          <w:bCs/>
          <w:color w:val="1F497D" w:themeColor="text2"/>
        </w:rPr>
        <w:t>Patient has demonstrated improvement in more categories than decline; AND</w:t>
      </w:r>
    </w:p>
    <w:p w14:paraId="4EC4DECA" w14:textId="77777777" w:rsidR="00FB6D84" w:rsidRPr="00113EA9" w:rsidRDefault="00FB6D84" w:rsidP="00113EA9">
      <w:pPr>
        <w:pStyle w:val="ListParagraph"/>
        <w:numPr>
          <w:ilvl w:val="4"/>
          <w:numId w:val="6"/>
        </w:numPr>
        <w:ind w:left="1800"/>
        <w:rPr>
          <w:b/>
          <w:bCs/>
          <w:color w:val="1F497D" w:themeColor="text2"/>
        </w:rPr>
      </w:pPr>
      <w:r w:rsidRPr="00113EA9">
        <w:rPr>
          <w:b/>
          <w:bCs/>
          <w:color w:val="1F497D" w:themeColor="text2"/>
        </w:rPr>
        <w:t>One of the following:</w:t>
      </w:r>
    </w:p>
    <w:p w14:paraId="0461128F" w14:textId="77777777" w:rsidR="00FB6D84" w:rsidRPr="00113EA9" w:rsidRDefault="00FB6D84" w:rsidP="00113EA9">
      <w:pPr>
        <w:pStyle w:val="ListParagraph"/>
        <w:numPr>
          <w:ilvl w:val="5"/>
          <w:numId w:val="6"/>
        </w:numPr>
        <w:ind w:left="2160"/>
        <w:rPr>
          <w:b/>
          <w:bCs/>
          <w:color w:val="1F497D" w:themeColor="text2"/>
        </w:rPr>
      </w:pPr>
      <w:r w:rsidRPr="00113EA9">
        <w:rPr>
          <w:b/>
          <w:bCs/>
          <w:color w:val="1F497D" w:themeColor="text2"/>
        </w:rPr>
        <w:t>At least 2 points (or maximum score) in ability to kick; OR</w:t>
      </w:r>
    </w:p>
    <w:p w14:paraId="12155C2B" w14:textId="5A2FD3FA" w:rsidR="00FB6D84" w:rsidRPr="00113EA9" w:rsidRDefault="00FB6D84" w:rsidP="00FB6D84">
      <w:pPr>
        <w:pStyle w:val="ListParagraph"/>
        <w:numPr>
          <w:ilvl w:val="5"/>
          <w:numId w:val="6"/>
        </w:numPr>
        <w:ind w:left="2160"/>
        <w:rPr>
          <w:b/>
          <w:bCs/>
          <w:color w:val="1F497D" w:themeColor="text2"/>
        </w:rPr>
      </w:pPr>
      <w:r w:rsidRPr="00113EA9">
        <w:rPr>
          <w:b/>
          <w:bCs/>
          <w:color w:val="1F497D" w:themeColor="text2"/>
        </w:rPr>
        <w:t>At least 1 point in any other HINE milestone (head control, rolling, sitting, crawling, etc.);</w:t>
      </w:r>
    </w:p>
    <w:p w14:paraId="5D609CDF" w14:textId="417D1552"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MFM-32: at least 1 point increase in score from pretreatment baseline;</w:t>
      </w:r>
    </w:p>
    <w:p w14:paraId="0D0DC831" w14:textId="0AE8D60B"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For ambulatory patients 6MWT demonstrates at least a 30 meter increase from pretreatment baseline;</w:t>
      </w:r>
    </w:p>
    <w:p w14:paraId="067325BC" w14:textId="64059F22"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For non-ambulatory patients RULM demonstrates at least a 2 point increase in score from the pretreatment baseline</w:t>
      </w:r>
      <w:r>
        <w:rPr>
          <w:b/>
          <w:bCs/>
          <w:color w:val="1F497D" w:themeColor="text2"/>
        </w:rPr>
        <w:t>;</w:t>
      </w:r>
    </w:p>
    <w:p w14:paraId="635B8C80" w14:textId="77777777" w:rsidR="00BE0CA5" w:rsidRPr="00FB6D84" w:rsidRDefault="00BE0CA5" w:rsidP="00113EA9">
      <w:pPr>
        <w:pStyle w:val="ListParagraph"/>
        <w:numPr>
          <w:ilvl w:val="2"/>
          <w:numId w:val="6"/>
        </w:numPr>
      </w:pPr>
      <w:r w:rsidRPr="00FB6D84">
        <w:t xml:space="preserve">Achievement and maintenance of new motor milestones from pretreatment baseline functional tests (HFMSE or HINE-2 and Pulmonary status); </w:t>
      </w:r>
      <w:r w:rsidRPr="00FB6D84">
        <w:rPr>
          <w:b/>
          <w:bCs/>
        </w:rPr>
        <w:t>OR</w:t>
      </w:r>
    </w:p>
    <w:p w14:paraId="4A29EA2F" w14:textId="57132E18" w:rsidR="00BE0CA5" w:rsidRPr="00113EA9" w:rsidRDefault="00BE0CA5" w:rsidP="00113EA9">
      <w:pPr>
        <w:pStyle w:val="ListParagraph"/>
        <w:numPr>
          <w:ilvl w:val="2"/>
          <w:numId w:val="6"/>
        </w:numPr>
        <w:rPr>
          <w:b/>
          <w:bCs/>
          <w:color w:val="1F497D" w:themeColor="text2"/>
        </w:rPr>
      </w:pPr>
      <w:r w:rsidRPr="00113EA9">
        <w:rPr>
          <w:b/>
          <w:bCs/>
          <w:color w:val="1F497D" w:themeColor="text2"/>
        </w:rPr>
        <w:t xml:space="preserve">Less than expected decline in functional ability or symptoms of disease as </w:t>
      </w:r>
      <w:r w:rsidR="004708F9" w:rsidRPr="00113EA9">
        <w:rPr>
          <w:b/>
          <w:bCs/>
          <w:color w:val="1F497D" w:themeColor="text2"/>
        </w:rPr>
        <w:t xml:space="preserve">documented by a specialist in the treated disease state. </w:t>
      </w:r>
    </w:p>
    <w:p w14:paraId="41DDA600" w14:textId="77777777" w:rsidR="00BE0CA5" w:rsidRPr="00FB6D84" w:rsidRDefault="00BE0CA5" w:rsidP="00113EA9">
      <w:pPr>
        <w:pStyle w:val="ListParagraph"/>
      </w:pPr>
      <w:r w:rsidRPr="00FB6D84">
        <w:lastRenderedPageBreak/>
        <w:t>Additional continuation criteria for Spinraza:</w:t>
      </w:r>
    </w:p>
    <w:p w14:paraId="6F361FAB" w14:textId="77777777" w:rsidR="00BE0CA5" w:rsidRPr="00FB6D84" w:rsidRDefault="00BE0CA5" w:rsidP="00113EA9">
      <w:pPr>
        <w:pStyle w:val="ListParagraph"/>
        <w:numPr>
          <w:ilvl w:val="1"/>
          <w:numId w:val="6"/>
        </w:numPr>
      </w:pPr>
      <w:r w:rsidRPr="00FB6D84">
        <w:t xml:space="preserve">Absence of unacceptable toxicity from the drug (examples of unacceptable toxicity include serious infections, fatal glomerulonephritis, thrombocytopenia, etc.); </w:t>
      </w:r>
      <w:r w:rsidRPr="00113EA9">
        <w:rPr>
          <w:b/>
          <w:bCs/>
        </w:rPr>
        <w:t>AND</w:t>
      </w:r>
    </w:p>
    <w:p w14:paraId="0A69E2E1" w14:textId="77777777" w:rsidR="00BE0CA5" w:rsidRPr="00FB6D84" w:rsidRDefault="00BE0CA5" w:rsidP="00113EA9">
      <w:pPr>
        <w:pStyle w:val="ListParagraph"/>
        <w:numPr>
          <w:ilvl w:val="1"/>
          <w:numId w:val="6"/>
        </w:numPr>
      </w:pPr>
      <w:r w:rsidRPr="00FB6D84">
        <w:t>Maintenance dosing is every 4 months.</w:t>
      </w:r>
    </w:p>
    <w:p w14:paraId="1B3179AD" w14:textId="77777777" w:rsidR="00BE0CA5" w:rsidRPr="00FB6D84" w:rsidRDefault="00BE0CA5" w:rsidP="00113EA9">
      <w:pPr>
        <w:pStyle w:val="ListParagraph"/>
      </w:pPr>
      <w:r w:rsidRPr="00FB6D84">
        <w:t>Continuation approval period: 12 months.</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C5D5083" w14:textId="77777777" w:rsidR="002C505C" w:rsidRDefault="002C505C" w:rsidP="002C505C">
      <w:pPr>
        <w:pStyle w:val="ListParagraph"/>
        <w:numPr>
          <w:ilvl w:val="0"/>
          <w:numId w:val="19"/>
        </w:numPr>
        <w:rPr>
          <w:rFonts w:cs="Arial"/>
          <w:noProof/>
          <w:szCs w:val="20"/>
        </w:rPr>
      </w:pPr>
      <w:bookmarkStart w:id="1" w:name="_Hlk47597237"/>
      <w:r>
        <w:rPr>
          <w:rFonts w:cs="Arial"/>
          <w:noProof/>
          <w:szCs w:val="20"/>
        </w:rPr>
        <w:t>Therapy will deny with presence of one of the following:</w:t>
      </w:r>
    </w:p>
    <w:p w14:paraId="72E65E78" w14:textId="77777777" w:rsidR="002C505C" w:rsidRPr="006970B3" w:rsidRDefault="002C505C" w:rsidP="002C505C">
      <w:pPr>
        <w:pStyle w:val="ListParagraph"/>
        <w:numPr>
          <w:ilvl w:val="1"/>
          <w:numId w:val="19"/>
        </w:numPr>
        <w:rPr>
          <w:rFonts w:cs="Arial"/>
          <w:noProof/>
          <w:szCs w:val="20"/>
        </w:rPr>
      </w:pPr>
      <w:r>
        <w:rPr>
          <w:rFonts w:cs="Arial"/>
          <w:noProof/>
          <w:szCs w:val="20"/>
        </w:rPr>
        <w:t xml:space="preserve">Any approval criteria are not met; </w:t>
      </w:r>
    </w:p>
    <w:p w14:paraId="0AC31A3B" w14:textId="77777777" w:rsidR="002C505C" w:rsidRDefault="002C505C" w:rsidP="002C505C">
      <w:pPr>
        <w:pStyle w:val="ListParagraph"/>
        <w:numPr>
          <w:ilvl w:val="1"/>
          <w:numId w:val="19"/>
        </w:numPr>
        <w:rPr>
          <w:rFonts w:cs="Arial"/>
          <w:noProof/>
          <w:szCs w:val="20"/>
        </w:rPr>
      </w:pPr>
      <w:r>
        <w:rPr>
          <w:rFonts w:cs="Arial"/>
          <w:noProof/>
          <w:szCs w:val="20"/>
        </w:rPr>
        <w:t>Claim is for Evrysdi and presence of any of the following:</w:t>
      </w:r>
    </w:p>
    <w:p w14:paraId="79D20DFD"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Participant is currently pregnant;</w:t>
      </w:r>
    </w:p>
    <w:p w14:paraId="0A6FAAD5"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Documented diagnosis of hepatic impairment;</w:t>
      </w:r>
    </w:p>
    <w:p w14:paraId="78F97408"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 xml:space="preserve">Concurrent utilization with MATE transporters </w:t>
      </w:r>
      <w:r w:rsidRPr="000D5666">
        <w:rPr>
          <w:rFonts w:cs="Arial"/>
          <w:noProof/>
          <w:szCs w:val="20"/>
        </w:rPr>
        <w:t>(i.e., metformin, cimetidine, acyclovir)</w:t>
      </w:r>
      <w:r>
        <w:rPr>
          <w:rFonts w:cs="Arial"/>
          <w:noProof/>
          <w:szCs w:val="20"/>
        </w:rPr>
        <w:t xml:space="preserve"> or Spinraza; </w:t>
      </w:r>
      <w:r w:rsidRPr="00D7389E">
        <w:rPr>
          <w:rFonts w:cs="Arial"/>
          <w:b/>
          <w:bCs/>
          <w:noProof/>
          <w:szCs w:val="20"/>
        </w:rPr>
        <w:t>OR</w:t>
      </w:r>
    </w:p>
    <w:p w14:paraId="14E56220"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Previous therapy with Zolgensma.</w:t>
      </w:r>
    </w:p>
    <w:p w14:paraId="3EF22BFC" w14:textId="77777777" w:rsidR="002C505C" w:rsidRDefault="002C505C" w:rsidP="002C505C">
      <w:pPr>
        <w:pStyle w:val="ListParagraph"/>
        <w:numPr>
          <w:ilvl w:val="1"/>
          <w:numId w:val="19"/>
        </w:numPr>
        <w:rPr>
          <w:rFonts w:cs="Arial"/>
          <w:noProof/>
          <w:szCs w:val="20"/>
        </w:rPr>
      </w:pPr>
      <w:r>
        <w:rPr>
          <w:rFonts w:cs="Arial"/>
          <w:noProof/>
          <w:szCs w:val="20"/>
        </w:rPr>
        <w:t>Claim is for Spinraza and presence of any of the following:</w:t>
      </w:r>
    </w:p>
    <w:p w14:paraId="6B8E2B86" w14:textId="77777777" w:rsidR="002C505C" w:rsidRDefault="002C505C" w:rsidP="002C505C">
      <w:pPr>
        <w:pStyle w:val="ListParagraph"/>
        <w:numPr>
          <w:ilvl w:val="2"/>
          <w:numId w:val="19"/>
        </w:numPr>
        <w:ind w:left="1080"/>
        <w:rPr>
          <w:rFonts w:cs="Arial"/>
          <w:noProof/>
          <w:szCs w:val="20"/>
        </w:rPr>
      </w:pPr>
      <w:r>
        <w:rPr>
          <w:rFonts w:cs="Arial"/>
          <w:noProof/>
          <w:szCs w:val="20"/>
        </w:rPr>
        <w:t xml:space="preserve">Concurrent utilization with Evrysdi; </w:t>
      </w:r>
      <w:r w:rsidRPr="00D7389E">
        <w:rPr>
          <w:rFonts w:cs="Arial"/>
          <w:b/>
          <w:bCs/>
          <w:noProof/>
          <w:szCs w:val="20"/>
        </w:rPr>
        <w:t>OR</w:t>
      </w:r>
    </w:p>
    <w:p w14:paraId="4828B0BC" w14:textId="77777777" w:rsidR="002C505C" w:rsidRDefault="002C505C" w:rsidP="002C505C">
      <w:pPr>
        <w:pStyle w:val="ListParagraph"/>
        <w:numPr>
          <w:ilvl w:val="2"/>
          <w:numId w:val="19"/>
        </w:numPr>
        <w:ind w:left="1080"/>
        <w:rPr>
          <w:rFonts w:cs="Arial"/>
          <w:noProof/>
          <w:szCs w:val="20"/>
        </w:rPr>
      </w:pPr>
      <w:r>
        <w:rPr>
          <w:rFonts w:cs="Arial"/>
          <w:noProof/>
          <w:szCs w:val="20"/>
        </w:rPr>
        <w:t>Prevous therapy with Zolgensma.</w:t>
      </w:r>
    </w:p>
    <w:p w14:paraId="5C10FC47" w14:textId="306A82C9" w:rsidR="002C505C" w:rsidRPr="003716FC" w:rsidRDefault="002C505C" w:rsidP="002C505C">
      <w:pPr>
        <w:pStyle w:val="ListParagraph"/>
        <w:numPr>
          <w:ilvl w:val="1"/>
          <w:numId w:val="19"/>
        </w:numPr>
        <w:rPr>
          <w:rFonts w:cs="Arial"/>
          <w:noProof/>
          <w:szCs w:val="20"/>
        </w:rPr>
      </w:pPr>
      <w:r w:rsidRPr="003716FC">
        <w:rPr>
          <w:rFonts w:cs="Arial"/>
          <w:noProof/>
          <w:szCs w:val="20"/>
        </w:rPr>
        <w:t xml:space="preserve">Claim is for Zolgensma </w:t>
      </w:r>
      <w:r w:rsidR="001F74B6" w:rsidRPr="001F74B6">
        <w:rPr>
          <w:rFonts w:cs="Arial"/>
          <w:b/>
          <w:bCs/>
          <w:noProof/>
          <w:color w:val="1F497D" w:themeColor="text2"/>
          <w:szCs w:val="20"/>
        </w:rPr>
        <w:t>or Itvisma</w:t>
      </w:r>
      <w:r w:rsidR="001F74B6" w:rsidRPr="001F74B6">
        <w:rPr>
          <w:rFonts w:cs="Arial"/>
          <w:noProof/>
          <w:color w:val="1F497D" w:themeColor="text2"/>
          <w:szCs w:val="20"/>
        </w:rPr>
        <w:t xml:space="preserve"> </w:t>
      </w:r>
      <w:r w:rsidRPr="003716FC">
        <w:rPr>
          <w:rFonts w:cs="Arial"/>
          <w:noProof/>
          <w:szCs w:val="20"/>
        </w:rPr>
        <w:t>and presence of any of the following:</w:t>
      </w:r>
    </w:p>
    <w:p w14:paraId="12AB23C9" w14:textId="6E9F0DA0"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Previous claim for Zolgensma </w:t>
      </w:r>
      <w:r w:rsidR="00E75CB2" w:rsidRPr="00E75CB2">
        <w:rPr>
          <w:rFonts w:cs="Arial"/>
          <w:b/>
          <w:bCs/>
          <w:noProof/>
          <w:color w:val="1F497D" w:themeColor="text2"/>
          <w:szCs w:val="20"/>
        </w:rPr>
        <w:t>or Itvisma</w:t>
      </w:r>
      <w:r w:rsidR="00E75CB2" w:rsidRPr="00E75CB2">
        <w:rPr>
          <w:rFonts w:cs="Arial"/>
          <w:noProof/>
          <w:color w:val="1F497D" w:themeColor="text2"/>
          <w:szCs w:val="20"/>
        </w:rPr>
        <w:t xml:space="preserve"> </w:t>
      </w:r>
      <w:r w:rsidRPr="003716FC">
        <w:rPr>
          <w:rFonts w:cs="Arial"/>
          <w:noProof/>
          <w:szCs w:val="20"/>
        </w:rPr>
        <w:t>at any time;</w:t>
      </w:r>
    </w:p>
    <w:p w14:paraId="4A889063"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Concurrent utilization with Spinraza or Evrysdi;</w:t>
      </w:r>
    </w:p>
    <w:p w14:paraId="741812E8"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Active viral or bacterial infection (including Hepatitis B, Hepatitis C, HIV, Zika virus, gastroenteritis, otitis media, bronchiolitis, etc.); </w:t>
      </w:r>
      <w:r w:rsidRPr="003716FC">
        <w:rPr>
          <w:rFonts w:cs="Arial"/>
          <w:b/>
          <w:bCs/>
          <w:noProof/>
          <w:szCs w:val="20"/>
        </w:rPr>
        <w:t>OR</w:t>
      </w:r>
    </w:p>
    <w:p w14:paraId="5A9A5287"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Concomitant illness that may create unnecessary risks for gene replacement therapy such as:</w:t>
      </w:r>
    </w:p>
    <w:p w14:paraId="6D5CF5CF"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Major renal or hepatic impairment</w:t>
      </w:r>
      <w:r>
        <w:rPr>
          <w:rFonts w:cs="Arial"/>
          <w:noProof/>
          <w:szCs w:val="20"/>
        </w:rPr>
        <w:t>;</w:t>
      </w:r>
    </w:p>
    <w:p w14:paraId="224EEE34"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Known seizure disorder</w:t>
      </w:r>
      <w:r>
        <w:rPr>
          <w:rFonts w:cs="Arial"/>
          <w:noProof/>
          <w:szCs w:val="20"/>
        </w:rPr>
        <w:t>;</w:t>
      </w:r>
    </w:p>
    <w:p w14:paraId="4914F8DD"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Diabetes mellitus</w:t>
      </w:r>
      <w:r>
        <w:rPr>
          <w:rFonts w:cs="Arial"/>
          <w:noProof/>
          <w:szCs w:val="20"/>
        </w:rPr>
        <w:t>;</w:t>
      </w:r>
    </w:p>
    <w:p w14:paraId="449C0410"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Idiopathic hypocalcuria</w:t>
      </w:r>
      <w:r>
        <w:rPr>
          <w:rFonts w:cs="Arial"/>
          <w:noProof/>
          <w:szCs w:val="20"/>
        </w:rPr>
        <w:t xml:space="preserve">; </w:t>
      </w:r>
      <w:r w:rsidRPr="003716FC">
        <w:rPr>
          <w:rFonts w:cs="Arial"/>
          <w:b/>
          <w:bCs/>
          <w:noProof/>
          <w:szCs w:val="20"/>
        </w:rPr>
        <w:t>OR</w:t>
      </w:r>
    </w:p>
    <w:p w14:paraId="3054A21F" w14:textId="77777777" w:rsidR="002C505C" w:rsidRDefault="002C505C" w:rsidP="002C505C">
      <w:pPr>
        <w:pStyle w:val="ListParagraph"/>
        <w:numPr>
          <w:ilvl w:val="3"/>
          <w:numId w:val="19"/>
        </w:numPr>
        <w:ind w:left="1440"/>
        <w:rPr>
          <w:rFonts w:cs="Arial"/>
          <w:noProof/>
          <w:szCs w:val="20"/>
        </w:rPr>
      </w:pPr>
      <w:r w:rsidRPr="003716FC">
        <w:rPr>
          <w:rFonts w:cs="Arial"/>
          <w:noProof/>
          <w:szCs w:val="20"/>
        </w:rPr>
        <w:t>Symptomatic cardiomyopathy</w:t>
      </w:r>
      <w:r>
        <w:rPr>
          <w:rFonts w:cs="Arial"/>
          <w:noProof/>
          <w:szCs w:val="20"/>
        </w:rPr>
        <w:t>.</w:t>
      </w:r>
    </w:p>
    <w:p w14:paraId="3867666A" w14:textId="77777777" w:rsidR="00266A23" w:rsidRPr="001F363B" w:rsidRDefault="00B909DD" w:rsidP="00266A23">
      <w:pPr>
        <w:pStyle w:val="ListParagraph"/>
        <w:numPr>
          <w:ilvl w:val="2"/>
          <w:numId w:val="19"/>
        </w:numPr>
        <w:ind w:left="1080"/>
        <w:rPr>
          <w:color w:val="1F497D" w:themeColor="text2"/>
        </w:rPr>
      </w:pPr>
      <w:r w:rsidRPr="00266A23">
        <w:rPr>
          <w:rFonts w:cs="Arial"/>
          <w:b/>
          <w:bCs/>
          <w:noProof/>
          <w:color w:val="1F497D" w:themeColor="text2"/>
          <w:szCs w:val="20"/>
        </w:rPr>
        <w:t xml:space="preserve">Claim </w:t>
      </w:r>
      <w:r w:rsidRPr="00CA2178">
        <w:rPr>
          <w:rFonts w:cs="Arial"/>
          <w:b/>
          <w:bCs/>
          <w:noProof/>
          <w:color w:val="1F497D" w:themeColor="text2"/>
          <w:szCs w:val="20"/>
        </w:rPr>
        <w:t xml:space="preserve">is for Itvisma and </w:t>
      </w:r>
      <w:r w:rsidR="00CA2178" w:rsidRPr="00CA2178">
        <w:rPr>
          <w:b/>
          <w:bCs/>
          <w:color w:val="1F497D" w:themeColor="text2"/>
        </w:rPr>
        <w:t>participant is ventilator dependent</w:t>
      </w:r>
      <w:r w:rsidR="0076311E">
        <w:rPr>
          <w:b/>
          <w:bCs/>
          <w:color w:val="1F497D" w:themeColor="text2"/>
        </w:rPr>
        <w:t>, excluding night CPAP</w:t>
      </w:r>
      <w:r w:rsidR="0012130C">
        <w:rPr>
          <w:b/>
          <w:bCs/>
          <w:color w:val="1F497D" w:themeColor="text2"/>
        </w:rPr>
        <w:t xml:space="preserve"> or </w:t>
      </w:r>
      <w:r w:rsidR="0076311E">
        <w:rPr>
          <w:b/>
          <w:bCs/>
          <w:color w:val="1F497D" w:themeColor="text2"/>
        </w:rPr>
        <w:t>BiPAP</w:t>
      </w:r>
      <w:r w:rsidR="00266A23">
        <w:rPr>
          <w:b/>
          <w:bCs/>
          <w:color w:val="1F497D" w:themeColor="text2"/>
        </w:rPr>
        <w:t xml:space="preserve">; </w:t>
      </w:r>
      <w:r w:rsidR="00266A23" w:rsidRPr="001F363B">
        <w:rPr>
          <w:b/>
          <w:bCs/>
          <w:color w:val="1F497D" w:themeColor="text2"/>
        </w:rPr>
        <w:t>OR</w:t>
      </w:r>
    </w:p>
    <w:p w14:paraId="71D0C7DF" w14:textId="77777777" w:rsidR="00266A23" w:rsidRPr="001F363B" w:rsidRDefault="00266A23" w:rsidP="00266A23">
      <w:pPr>
        <w:pStyle w:val="ListParagraph"/>
        <w:numPr>
          <w:ilvl w:val="1"/>
          <w:numId w:val="6"/>
        </w:numPr>
        <w:rPr>
          <w:color w:val="1F497D" w:themeColor="text2"/>
        </w:rPr>
      </w:pPr>
      <w:r w:rsidRPr="001F363B">
        <w:rPr>
          <w:b/>
          <w:bCs/>
          <w:color w:val="1F497D" w:themeColor="text2"/>
        </w:rPr>
        <w:t>Claim exceeds max dosing limitations:</w:t>
      </w:r>
    </w:p>
    <w:tbl>
      <w:tblPr>
        <w:tblW w:w="9082" w:type="dxa"/>
        <w:tblInd w:w="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2"/>
        <w:gridCol w:w="2368"/>
        <w:gridCol w:w="4222"/>
      </w:tblGrid>
      <w:tr w:rsidR="00266A23" w:rsidRPr="001F363B" w14:paraId="7060D6F1" w14:textId="77777777" w:rsidTr="00EA6A02">
        <w:trPr>
          <w:trHeight w:val="300"/>
        </w:trPr>
        <w:tc>
          <w:tcPr>
            <w:tcW w:w="2492" w:type="dxa"/>
            <w:tcBorders>
              <w:top w:val="single" w:sz="6" w:space="0" w:color="auto"/>
              <w:left w:val="single" w:sz="6" w:space="0" w:color="auto"/>
              <w:bottom w:val="single" w:sz="6" w:space="0" w:color="auto"/>
              <w:right w:val="single" w:sz="6" w:space="0" w:color="auto"/>
            </w:tcBorders>
            <w:shd w:val="clear" w:color="auto" w:fill="FABF8F"/>
            <w:hideMark/>
          </w:tcPr>
          <w:p w14:paraId="7190AE45" w14:textId="77777777" w:rsidR="00266A23" w:rsidRPr="001F363B" w:rsidRDefault="00266A23" w:rsidP="00864899">
            <w:pPr>
              <w:rPr>
                <w:b/>
                <w:bCs/>
                <w:color w:val="1F497D" w:themeColor="text2"/>
              </w:rPr>
            </w:pPr>
            <w:r w:rsidRPr="001F363B">
              <w:rPr>
                <w:b/>
                <w:bCs/>
                <w:color w:val="1F497D" w:themeColor="text2"/>
              </w:rPr>
              <w:t>Drug Description </w:t>
            </w:r>
          </w:p>
        </w:tc>
        <w:tc>
          <w:tcPr>
            <w:tcW w:w="2368" w:type="dxa"/>
            <w:tcBorders>
              <w:top w:val="single" w:sz="6" w:space="0" w:color="auto"/>
              <w:left w:val="single" w:sz="6" w:space="0" w:color="auto"/>
              <w:bottom w:val="single" w:sz="6" w:space="0" w:color="auto"/>
              <w:right w:val="single" w:sz="6" w:space="0" w:color="auto"/>
            </w:tcBorders>
            <w:shd w:val="clear" w:color="auto" w:fill="FABF8F"/>
            <w:hideMark/>
          </w:tcPr>
          <w:p w14:paraId="567A7B6F" w14:textId="77777777" w:rsidR="00266A23" w:rsidRPr="001F363B" w:rsidRDefault="00266A23" w:rsidP="00864899">
            <w:pPr>
              <w:rPr>
                <w:b/>
                <w:bCs/>
                <w:color w:val="1F497D" w:themeColor="text2"/>
              </w:rPr>
            </w:pPr>
            <w:r w:rsidRPr="001F363B">
              <w:rPr>
                <w:b/>
                <w:bCs/>
                <w:color w:val="1F497D" w:themeColor="text2"/>
              </w:rPr>
              <w:t>Generic Equivalent </w:t>
            </w:r>
          </w:p>
        </w:tc>
        <w:tc>
          <w:tcPr>
            <w:tcW w:w="4222" w:type="dxa"/>
            <w:tcBorders>
              <w:top w:val="single" w:sz="6" w:space="0" w:color="auto"/>
              <w:left w:val="single" w:sz="6" w:space="0" w:color="auto"/>
              <w:bottom w:val="single" w:sz="6" w:space="0" w:color="auto"/>
              <w:right w:val="single" w:sz="6" w:space="0" w:color="auto"/>
            </w:tcBorders>
            <w:shd w:val="clear" w:color="auto" w:fill="FABF8F"/>
            <w:hideMark/>
          </w:tcPr>
          <w:p w14:paraId="33DE4098" w14:textId="77777777" w:rsidR="00266A23" w:rsidRPr="001F363B" w:rsidRDefault="00266A23" w:rsidP="00864899">
            <w:pPr>
              <w:rPr>
                <w:b/>
                <w:bCs/>
                <w:color w:val="1F497D" w:themeColor="text2"/>
              </w:rPr>
            </w:pPr>
            <w:r w:rsidRPr="001F363B">
              <w:rPr>
                <w:b/>
                <w:bCs/>
                <w:color w:val="1F497D" w:themeColor="text2"/>
              </w:rPr>
              <w:t>Max Dosing Limitations </w:t>
            </w:r>
          </w:p>
        </w:tc>
      </w:tr>
      <w:tr w:rsidR="002D5984" w:rsidRPr="001F363B" w14:paraId="5ACDEC05" w14:textId="77777777" w:rsidTr="00EA6A02">
        <w:trPr>
          <w:trHeight w:val="315"/>
        </w:trPr>
        <w:tc>
          <w:tcPr>
            <w:tcW w:w="2492" w:type="dxa"/>
            <w:tcBorders>
              <w:top w:val="single" w:sz="6" w:space="0" w:color="auto"/>
              <w:left w:val="single" w:sz="6" w:space="0" w:color="auto"/>
              <w:bottom w:val="single" w:sz="6" w:space="0" w:color="auto"/>
              <w:right w:val="single" w:sz="6" w:space="0" w:color="auto"/>
            </w:tcBorders>
            <w:vAlign w:val="center"/>
            <w:hideMark/>
          </w:tcPr>
          <w:p w14:paraId="4E22BF94" w14:textId="7A99A6F3" w:rsidR="002D5984" w:rsidRPr="002D5984" w:rsidRDefault="002D5984" w:rsidP="002D5984">
            <w:pPr>
              <w:rPr>
                <w:rFonts w:cs="Arial"/>
                <w:b/>
                <w:bCs/>
                <w:color w:val="1F497D" w:themeColor="text2"/>
                <w:szCs w:val="20"/>
              </w:rPr>
            </w:pPr>
            <w:r w:rsidRPr="002D5984">
              <w:rPr>
                <w:rFonts w:cs="Arial"/>
                <w:b/>
                <w:bCs/>
                <w:color w:val="1F497D" w:themeColor="text2"/>
                <w:szCs w:val="20"/>
              </w:rPr>
              <w:t>SPINRAZA 50 MG/5 ML VIAL</w:t>
            </w:r>
          </w:p>
        </w:tc>
        <w:tc>
          <w:tcPr>
            <w:tcW w:w="2368" w:type="dxa"/>
            <w:tcBorders>
              <w:top w:val="single" w:sz="6" w:space="0" w:color="auto"/>
              <w:left w:val="single" w:sz="6" w:space="0" w:color="auto"/>
              <w:bottom w:val="single" w:sz="6" w:space="0" w:color="auto"/>
              <w:right w:val="single" w:sz="6" w:space="0" w:color="auto"/>
            </w:tcBorders>
            <w:vAlign w:val="center"/>
            <w:hideMark/>
          </w:tcPr>
          <w:p w14:paraId="261C7D7D" w14:textId="5EAC90AB" w:rsidR="002D5984" w:rsidRPr="002D5984" w:rsidRDefault="002D5984" w:rsidP="002D5984">
            <w:pPr>
              <w:rPr>
                <w:rFonts w:cs="Arial"/>
                <w:b/>
                <w:bCs/>
                <w:color w:val="1F497D" w:themeColor="text2"/>
                <w:szCs w:val="20"/>
              </w:rPr>
            </w:pPr>
            <w:r w:rsidRPr="002D5984">
              <w:rPr>
                <w:rFonts w:cs="Arial"/>
                <w:b/>
                <w:bCs/>
                <w:color w:val="1F497D" w:themeColor="text2"/>
                <w:szCs w:val="20"/>
              </w:rPr>
              <w:t>NUSINERSEN SODIUM/PF</w:t>
            </w:r>
          </w:p>
        </w:tc>
        <w:tc>
          <w:tcPr>
            <w:tcW w:w="4222" w:type="dxa"/>
            <w:tcBorders>
              <w:top w:val="single" w:sz="6" w:space="0" w:color="auto"/>
              <w:left w:val="single" w:sz="6" w:space="0" w:color="auto"/>
              <w:bottom w:val="single" w:sz="6" w:space="0" w:color="auto"/>
              <w:right w:val="single" w:sz="6" w:space="0" w:color="auto"/>
            </w:tcBorders>
            <w:vAlign w:val="center"/>
            <w:hideMark/>
          </w:tcPr>
          <w:p w14:paraId="2E06ED64" w14:textId="7FFCFCB3" w:rsidR="002D5984" w:rsidRPr="001F363B" w:rsidRDefault="002D5984" w:rsidP="002D5984">
            <w:pPr>
              <w:rPr>
                <w:b/>
                <w:bCs/>
                <w:color w:val="1F497D" w:themeColor="text2"/>
              </w:rPr>
            </w:pPr>
            <w:r w:rsidRPr="001F363B">
              <w:rPr>
                <w:b/>
                <w:bCs/>
                <w:color w:val="1F497D" w:themeColor="text2"/>
              </w:rPr>
              <w:t>Deny dosing more frequently than </w:t>
            </w:r>
            <w:r>
              <w:rPr>
                <w:b/>
                <w:bCs/>
                <w:color w:val="1F497D" w:themeColor="text2"/>
              </w:rPr>
              <w:t>2 doses</w:t>
            </w:r>
            <w:r w:rsidRPr="001F363B">
              <w:rPr>
                <w:b/>
                <w:bCs/>
                <w:color w:val="1F497D" w:themeColor="text2"/>
              </w:rPr>
              <w:t xml:space="preserve"> per </w:t>
            </w:r>
            <w:r>
              <w:rPr>
                <w:b/>
                <w:bCs/>
                <w:color w:val="1F497D" w:themeColor="text2"/>
              </w:rPr>
              <w:t>year</w:t>
            </w:r>
            <w:r w:rsidRPr="001F363B">
              <w:rPr>
                <w:b/>
                <w:bCs/>
                <w:color w:val="1F497D" w:themeColor="text2"/>
              </w:rPr>
              <w:t> </w:t>
            </w:r>
          </w:p>
        </w:tc>
      </w:tr>
    </w:tbl>
    <w:p w14:paraId="6B620B12" w14:textId="4318F9BE" w:rsidR="00B909DD" w:rsidRPr="00CA2178" w:rsidRDefault="00B909DD" w:rsidP="002D5984">
      <w:pPr>
        <w:pStyle w:val="ListParagraph"/>
        <w:numPr>
          <w:ilvl w:val="0"/>
          <w:numId w:val="0"/>
        </w:numPr>
        <w:ind w:left="1080"/>
        <w:rPr>
          <w:rFonts w:cs="Arial"/>
          <w:b/>
          <w:bCs/>
          <w:noProof/>
          <w:color w:val="1F497D" w:themeColor="text2"/>
          <w:szCs w:val="20"/>
        </w:rPr>
      </w:pPr>
    </w:p>
    <w:bookmarkEnd w:id="1"/>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4B6F67AF" w14:textId="77777777" w:rsidR="008A0BC2" w:rsidRPr="004E3570" w:rsidRDefault="00343D6B" w:rsidP="008A0BC2">
      <w:pPr>
        <w:rPr>
          <w:rFonts w:cs="Arial"/>
          <w:szCs w:val="20"/>
        </w:rPr>
      </w:pPr>
      <w:r w:rsidRPr="00696E3A">
        <w:rPr>
          <w:b/>
          <w:bCs/>
        </w:rPr>
        <w:t>Default Approval Period:</w:t>
      </w:r>
      <w:r w:rsidR="00973BD6">
        <w:t xml:space="preserve"> </w:t>
      </w:r>
      <w:r w:rsidR="008A0BC2">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F77F44D" w14:textId="29A26FBB" w:rsidR="00867019" w:rsidRPr="00A664F5" w:rsidRDefault="00867019" w:rsidP="00867019">
      <w:pPr>
        <w:pStyle w:val="Header"/>
        <w:numPr>
          <w:ilvl w:val="0"/>
          <w:numId w:val="25"/>
        </w:numPr>
        <w:rPr>
          <w:rFonts w:cs="Arial"/>
          <w:sz w:val="20"/>
        </w:rPr>
      </w:pPr>
      <w:r w:rsidRPr="00A664F5">
        <w:rPr>
          <w:rFonts w:cs="Arial"/>
          <w:sz w:val="20"/>
        </w:rPr>
        <w:t>Evrysdi</w:t>
      </w:r>
      <w:r w:rsidRPr="00A664F5">
        <w:rPr>
          <w:rFonts w:cs="Arial"/>
          <w:sz w:val="20"/>
          <w:vertAlign w:val="superscript"/>
        </w:rPr>
        <w:t>®</w:t>
      </w:r>
      <w:r w:rsidRPr="00A664F5">
        <w:rPr>
          <w:rFonts w:cs="Arial"/>
          <w:sz w:val="20"/>
        </w:rPr>
        <w:t xml:space="preserve"> (risdiplam) [package insert]. South San Francisco, CA: Genentech Inc: February 202</w:t>
      </w:r>
      <w:r w:rsidR="00D129CC">
        <w:rPr>
          <w:rFonts w:cs="Arial"/>
          <w:sz w:val="20"/>
        </w:rPr>
        <w:t>6</w:t>
      </w:r>
      <w:r w:rsidRPr="00A664F5">
        <w:rPr>
          <w:rFonts w:cs="Arial"/>
          <w:sz w:val="20"/>
        </w:rPr>
        <w:t>.</w:t>
      </w:r>
    </w:p>
    <w:p w14:paraId="4432164B" w14:textId="0A06D658" w:rsidR="004D7C55" w:rsidRDefault="004D7C55" w:rsidP="004D7C55">
      <w:pPr>
        <w:pStyle w:val="ListParagraph"/>
        <w:numPr>
          <w:ilvl w:val="0"/>
          <w:numId w:val="25"/>
        </w:numPr>
      </w:pPr>
      <w:r w:rsidRPr="00122183">
        <w:t>Itvisma</w:t>
      </w:r>
      <w:r>
        <w:t xml:space="preserve"> [package insert]. Bannock, IL: Novartis Gene Therapies, Inc; </w:t>
      </w:r>
      <w:r w:rsidR="00D129CC">
        <w:t>June</w:t>
      </w:r>
      <w:r>
        <w:t xml:space="preserve"> 202</w:t>
      </w:r>
      <w:r w:rsidR="00D129CC">
        <w:t>6</w:t>
      </w:r>
      <w:r>
        <w:t>.</w:t>
      </w:r>
    </w:p>
    <w:p w14:paraId="27E3F18F" w14:textId="26E8B4BB" w:rsidR="00867019" w:rsidRPr="00A664F5" w:rsidRDefault="00867019" w:rsidP="00867019">
      <w:pPr>
        <w:pStyle w:val="Header"/>
        <w:numPr>
          <w:ilvl w:val="0"/>
          <w:numId w:val="25"/>
        </w:numPr>
        <w:rPr>
          <w:rStyle w:val="normaltextrun"/>
          <w:rFonts w:cs="Arial"/>
          <w:sz w:val="20"/>
        </w:rPr>
      </w:pPr>
      <w:r w:rsidRPr="00A664F5">
        <w:rPr>
          <w:rFonts w:cs="Arial"/>
          <w:sz w:val="20"/>
        </w:rPr>
        <w:t>Spinraza</w:t>
      </w:r>
      <w:r w:rsidRPr="00A664F5">
        <w:rPr>
          <w:rFonts w:cs="Arial"/>
          <w:sz w:val="20"/>
          <w:vertAlign w:val="superscript"/>
        </w:rPr>
        <w:t>®</w:t>
      </w:r>
      <w:r w:rsidRPr="00A664F5">
        <w:rPr>
          <w:rFonts w:cs="Arial"/>
          <w:sz w:val="20"/>
        </w:rPr>
        <w:t xml:space="preserve"> (nusinersen) [package insert]. Cambridge, MA. Biogen: </w:t>
      </w:r>
      <w:r w:rsidR="005B31DC">
        <w:rPr>
          <w:rFonts w:cs="Arial"/>
          <w:sz w:val="20"/>
        </w:rPr>
        <w:t>March</w:t>
      </w:r>
      <w:r w:rsidRPr="00A664F5">
        <w:rPr>
          <w:rFonts w:cs="Arial"/>
          <w:sz w:val="20"/>
        </w:rPr>
        <w:t xml:space="preserve"> 202</w:t>
      </w:r>
      <w:r w:rsidR="005B31DC">
        <w:rPr>
          <w:rFonts w:cs="Arial"/>
          <w:sz w:val="20"/>
        </w:rPr>
        <w:t>6</w:t>
      </w:r>
      <w:r w:rsidRPr="00A664F5">
        <w:rPr>
          <w:rFonts w:cs="Arial"/>
          <w:sz w:val="20"/>
        </w:rPr>
        <w:t>.</w:t>
      </w:r>
    </w:p>
    <w:p w14:paraId="6EB6CEA4" w14:textId="0EA87680"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t>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[package insert]. Bannockburn, IL: </w:t>
      </w:r>
      <w:r w:rsidRPr="00A664F5">
        <w:rPr>
          <w:rFonts w:cs="Arial"/>
          <w:bCs/>
          <w:sz w:val="20"/>
          <w:shd w:val="clear" w:color="auto" w:fill="FFFFFF"/>
        </w:rPr>
        <w:t>Novartis Gene Therapies, Inc</w:t>
      </w:r>
      <w:r w:rsidRPr="00A664F5">
        <w:rPr>
          <w:rStyle w:val="normaltextrun"/>
          <w:rFonts w:cs="Arial"/>
          <w:bCs/>
          <w:sz w:val="20"/>
          <w:shd w:val="clear" w:color="auto" w:fill="FFFFFF"/>
        </w:rPr>
        <w:t xml:space="preserve">.; </w:t>
      </w:r>
      <w:r w:rsidR="00E65B3C">
        <w:rPr>
          <w:rStyle w:val="normaltextrun"/>
          <w:rFonts w:cs="Arial"/>
          <w:bCs/>
          <w:sz w:val="20"/>
          <w:shd w:val="clear" w:color="auto" w:fill="FFFFFF"/>
        </w:rPr>
        <w:t>June</w:t>
      </w:r>
      <w:r w:rsidRPr="00A664F5">
        <w:rPr>
          <w:rStyle w:val="normaltextrun"/>
          <w:rFonts w:cs="Arial"/>
          <w:bCs/>
          <w:sz w:val="20"/>
          <w:shd w:val="clear" w:color="auto" w:fill="FFFFFF"/>
        </w:rPr>
        <w:t xml:space="preserve"> 202</w:t>
      </w:r>
      <w:r w:rsidR="00E65B3C">
        <w:rPr>
          <w:rStyle w:val="normaltextrun"/>
          <w:rFonts w:cs="Arial"/>
          <w:bCs/>
          <w:sz w:val="20"/>
          <w:shd w:val="clear" w:color="auto" w:fill="FFFFFF"/>
        </w:rPr>
        <w:t>6</w:t>
      </w:r>
      <w:r w:rsidRPr="00A664F5">
        <w:rPr>
          <w:rStyle w:val="normaltextrun"/>
          <w:rFonts w:cs="Arial"/>
          <w:bCs/>
          <w:sz w:val="20"/>
          <w:shd w:val="clear" w:color="auto" w:fill="FFFFFF"/>
        </w:rPr>
        <w:t>.</w:t>
      </w:r>
    </w:p>
    <w:p w14:paraId="762265A8" w14:textId="3EE8261B"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lastRenderedPageBreak/>
        <w:t>Institute for Clinical and Economic Review.  Spinraza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and 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for Spinal Muscular Atrophy: Effectiveness and Value. </w:t>
      </w:r>
      <w:hyperlink r:id="rId11" w:history="1">
        <w:r w:rsidRPr="00A664F5">
          <w:rPr>
            <w:rStyle w:val="Hyperlink"/>
            <w:rFonts w:cs="Arial"/>
            <w:bCs/>
            <w:color w:val="auto"/>
            <w:sz w:val="20"/>
            <w:u w:val="none"/>
            <w:shd w:val="clear" w:color="auto" w:fill="FFFFFF"/>
          </w:rPr>
          <w:t>https://icer-review.org/wp-content/uploads/2018/07/ICER_SMA_Final_Evidence_Report_052419.pdf</w:t>
        </w:r>
      </w:hyperlink>
      <w:r w:rsidRPr="00A664F5">
        <w:rPr>
          <w:rStyle w:val="normaltextrun"/>
          <w:rFonts w:cs="Arial"/>
          <w:bCs/>
          <w:sz w:val="20"/>
          <w:shd w:val="clear" w:color="auto" w:fill="FFFFFF"/>
        </w:rPr>
        <w:t>. Updated May 24, 2019.</w:t>
      </w:r>
    </w:p>
    <w:p w14:paraId="20A2D671" w14:textId="77777777" w:rsidR="00867019" w:rsidRPr="00A664F5" w:rsidRDefault="00867019" w:rsidP="00867019">
      <w:pPr>
        <w:pStyle w:val="Header"/>
        <w:numPr>
          <w:ilvl w:val="0"/>
          <w:numId w:val="25"/>
        </w:numPr>
        <w:rPr>
          <w:rStyle w:val="normaltextrun"/>
          <w:rFonts w:cs="Arial"/>
          <w:sz w:val="20"/>
        </w:rPr>
      </w:pPr>
      <w:r w:rsidRPr="00A664F5">
        <w:rPr>
          <w:rFonts w:cs="Arial"/>
          <w:sz w:val="20"/>
        </w:rPr>
        <w:t>IPD Analytics. New Drug Review: Evrysdi (risdiplam). August 2020.</w:t>
      </w:r>
    </w:p>
    <w:p w14:paraId="220982FF" w14:textId="77777777" w:rsidR="00867019" w:rsidRPr="00A664F5" w:rsidRDefault="00867019" w:rsidP="00867019">
      <w:pPr>
        <w:pStyle w:val="Header"/>
        <w:numPr>
          <w:ilvl w:val="0"/>
          <w:numId w:val="25"/>
        </w:numPr>
        <w:tabs>
          <w:tab w:val="clear" w:pos="4320"/>
          <w:tab w:val="clear" w:pos="8640"/>
        </w:tabs>
        <w:rPr>
          <w:rStyle w:val="normaltextrun"/>
          <w:rFonts w:cs="Arial"/>
          <w:sz w:val="20"/>
        </w:rPr>
      </w:pPr>
      <w:r w:rsidRPr="00A664F5">
        <w:rPr>
          <w:rStyle w:val="normaltextrun"/>
          <w:rFonts w:cs="Arial"/>
          <w:bCs/>
          <w:sz w:val="20"/>
          <w:shd w:val="clear" w:color="auto" w:fill="FFFFFF"/>
        </w:rPr>
        <w:t>IPD Analytics.  New Drug Approval: Zolgensma (onasemnogene abeparvovec-xioi). June 2019.</w:t>
      </w:r>
    </w:p>
    <w:p w14:paraId="61F33139" w14:textId="77777777" w:rsidR="00867019" w:rsidRPr="00A664F5"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 xml:space="preserve">E. Mercuri et al.  Diagnosis and management of spinal muscular atrophy: Part 1: Recommendations for diagnosis, rehabilitation, orthopedic and nutritional care.  Neuromuscular Disorders 28 (2018) 103–115. </w:t>
      </w:r>
      <w:hyperlink r:id="rId12" w:history="1">
        <w:r w:rsidRPr="00A664F5">
          <w:rPr>
            <w:rStyle w:val="Hyperlink"/>
            <w:rFonts w:cs="Arial"/>
            <w:bCs/>
            <w:color w:val="auto"/>
            <w:szCs w:val="20"/>
            <w:u w:val="none"/>
            <w:shd w:val="clear" w:color="auto" w:fill="FFFFFF"/>
          </w:rPr>
          <w:t>https://doi.org/10.1016/j.nmd.2017.11.005</w:t>
        </w:r>
      </w:hyperlink>
    </w:p>
    <w:p w14:paraId="3FA1E7DB" w14:textId="5B6F652D" w:rsidR="00777CA4" w:rsidRPr="00867019"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RS Finkel et al.  Diagnosis and management of spinal muscular atrophy: Part 2: Pulmonary and acute care; medications, supplements and immunizations; other organ systems; and ethics.  Neuromuscular Disorders 28 (2018) 197–207.  https://doi.org/10.1016/j.nmd.2017.11.004</w:t>
      </w:r>
    </w:p>
    <w:sectPr w:rsidR="00777CA4" w:rsidRPr="00867019"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DA4A1" w14:textId="77777777" w:rsidR="00BC7AFC" w:rsidRPr="00C02553" w:rsidRDefault="00BC7AFC" w:rsidP="00AE77DB">
      <w:r w:rsidRPr="00C02553">
        <w:separator/>
      </w:r>
    </w:p>
  </w:endnote>
  <w:endnote w:type="continuationSeparator" w:id="0">
    <w:p w14:paraId="66BE6402" w14:textId="77777777" w:rsidR="00BC7AFC" w:rsidRPr="00C02553" w:rsidRDefault="00BC7AFC" w:rsidP="00AE77DB">
      <w:r w:rsidRPr="00C02553">
        <w:continuationSeparator/>
      </w:r>
    </w:p>
  </w:endnote>
  <w:endnote w:type="continuationNotice" w:id="1">
    <w:p w14:paraId="3F10C278" w14:textId="77777777" w:rsidR="00BC7AFC" w:rsidRPr="00C02553" w:rsidRDefault="00BC7A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E32B" w14:textId="77777777" w:rsidR="00BC7AFC" w:rsidRPr="00C02553" w:rsidRDefault="00BC7AFC" w:rsidP="00AE77DB">
      <w:r w:rsidRPr="00C02553">
        <w:separator/>
      </w:r>
    </w:p>
  </w:footnote>
  <w:footnote w:type="continuationSeparator" w:id="0">
    <w:p w14:paraId="6E4C5E16" w14:textId="77777777" w:rsidR="00BC7AFC" w:rsidRPr="00C02553" w:rsidRDefault="00BC7AFC" w:rsidP="00AE77DB">
      <w:r w:rsidRPr="00C02553">
        <w:continuationSeparator/>
      </w:r>
    </w:p>
  </w:footnote>
  <w:footnote w:type="continuationNotice" w:id="1">
    <w:p w14:paraId="74EF2496" w14:textId="77777777" w:rsidR="00BC7AFC" w:rsidRPr="00C02553" w:rsidRDefault="00BC7A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063E565" w:rsidR="00006A61" w:rsidRPr="00C02553" w:rsidRDefault="00BC7AFC">
    <w:pPr>
      <w:pStyle w:val="Header"/>
      <w:framePr w:wrap="around" w:vAnchor="text" w:hAnchor="margin" w:xAlign="right" w:y="1"/>
      <w:rPr>
        <w:rStyle w:val="PageNumber"/>
        <w:rFonts w:ascii="Times New Roman" w:hAnsi="Times New Roman"/>
      </w:rPr>
    </w:pPr>
    <w:r>
      <w:rPr>
        <w:noProof/>
      </w:rPr>
      <w:pict w14:anchorId="2E1B82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4" o:spid="_x0000_s1026" type="#_x0000_t136" style="position:absolute;margin-left:0;margin-top:0;width:471.3pt;height:188.5pt;rotation:315;z-index:-25164595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961ADD4" w:rsidR="00596936" w:rsidRDefault="00BC7AFC">
    <w:pPr>
      <w:pStyle w:val="Header"/>
    </w:pPr>
    <w:r>
      <w:rPr>
        <w:noProof/>
      </w:rPr>
      <w:pict w14:anchorId="56078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5" o:spid="_x0000_s1027" type="#_x0000_t136" style="position:absolute;margin-left:0;margin-top:0;width:471.3pt;height:233.8pt;rotation:315;z-index:-25164390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D8F384B" w:rsidR="00006A61" w:rsidRPr="00C02553" w:rsidRDefault="00BC7AFC">
    <w:pPr>
      <w:pStyle w:val="Header"/>
      <w:rPr>
        <w:rFonts w:ascii="Times New Roman" w:hAnsi="Times New Roman"/>
      </w:rPr>
    </w:pPr>
    <w:r>
      <w:rPr>
        <w:noProof/>
      </w:rPr>
      <w:pict w14:anchorId="543FC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3" o:spid="_x0000_s1025" type="#_x0000_t136" style="position:absolute;margin-left:0;margin-top:0;width:471.3pt;height:188.5pt;rotation:315;z-index:-25164800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750365"/>
    <w:multiLevelType w:val="hybridMultilevel"/>
    <w:tmpl w:val="EB1ACF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90" w:hanging="360"/>
      </w:pPr>
      <w:rPr>
        <w:rFonts w:ascii="Courier New" w:hAnsi="Courier New" w:cs="Courier New" w:hint="default"/>
      </w:rPr>
    </w:lvl>
    <w:lvl w:ilvl="5" w:tplc="04090005">
      <w:start w:val="1"/>
      <w:numFmt w:val="bullet"/>
      <w:lvlText w:val=""/>
      <w:lvlJc w:val="left"/>
      <w:pPr>
        <w:ind w:left="225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342873"/>
    <w:multiLevelType w:val="hybridMultilevel"/>
    <w:tmpl w:val="04AA43C0"/>
    <w:lvl w:ilvl="0" w:tplc="7E0ACC14">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387045"/>
    <w:multiLevelType w:val="hybridMultilevel"/>
    <w:tmpl w:val="7FC080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676EE0"/>
    <w:multiLevelType w:val="hybridMultilevel"/>
    <w:tmpl w:val="CA883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3"/>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9"/>
  </w:num>
  <w:num w:numId="13" w16cid:durableId="604729665">
    <w:abstractNumId w:val="5"/>
  </w:num>
  <w:num w:numId="14" w16cid:durableId="1805081292">
    <w:abstractNumId w:val="14"/>
  </w:num>
  <w:num w:numId="15" w16cid:durableId="1911186802">
    <w:abstractNumId w:val="6"/>
  </w:num>
  <w:num w:numId="16" w16cid:durableId="1014304344">
    <w:abstractNumId w:val="20"/>
  </w:num>
  <w:num w:numId="17" w16cid:durableId="1397899452">
    <w:abstractNumId w:val="16"/>
  </w:num>
  <w:num w:numId="18" w16cid:durableId="279147771">
    <w:abstractNumId w:val="17"/>
  </w:num>
  <w:num w:numId="19" w16cid:durableId="69162268">
    <w:abstractNumId w:val="21"/>
  </w:num>
  <w:num w:numId="20" w16cid:durableId="404764218">
    <w:abstractNumId w:val="11"/>
  </w:num>
  <w:num w:numId="21" w16cid:durableId="1865358641">
    <w:abstractNumId w:val="18"/>
  </w:num>
  <w:num w:numId="22" w16cid:durableId="749086310">
    <w:abstractNumId w:val="15"/>
  </w:num>
  <w:num w:numId="23" w16cid:durableId="1219583984">
    <w:abstractNumId w:val="13"/>
  </w:num>
  <w:num w:numId="24" w16cid:durableId="1660189624">
    <w:abstractNumId w:val="8"/>
  </w:num>
  <w:num w:numId="25" w16cid:durableId="1644918956">
    <w:abstractNumId w:val="22"/>
  </w:num>
  <w:num w:numId="26" w16cid:durableId="1529442394">
    <w:abstractNumId w:val="17"/>
  </w:num>
  <w:num w:numId="27" w16cid:durableId="1757508511">
    <w:abstractNumId w:val="17"/>
  </w:num>
  <w:num w:numId="28" w16cid:durableId="586815141">
    <w:abstractNumId w:val="17"/>
  </w:num>
  <w:num w:numId="29" w16cid:durableId="1328170796">
    <w:abstractNumId w:val="17"/>
  </w:num>
  <w:num w:numId="30" w16cid:durableId="2101365605">
    <w:abstractNumId w:val="17"/>
  </w:num>
  <w:num w:numId="31" w16cid:durableId="12979036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ysIQidbrMkXsDq8E6LTQaHzHbue8Q5lh73dHv9uyOpQ4njgixzjkyJUTWdiVOMsv5/iFF+J3ckQsaaH4/HJUBg==" w:salt="HUcYkSpuTTA52PzMELc2E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1F8F"/>
    <w:rsid w:val="00052E35"/>
    <w:rsid w:val="00053807"/>
    <w:rsid w:val="000572E5"/>
    <w:rsid w:val="00061541"/>
    <w:rsid w:val="00064162"/>
    <w:rsid w:val="00065C22"/>
    <w:rsid w:val="000666DC"/>
    <w:rsid w:val="00066A93"/>
    <w:rsid w:val="00074464"/>
    <w:rsid w:val="00076030"/>
    <w:rsid w:val="0007690B"/>
    <w:rsid w:val="00082590"/>
    <w:rsid w:val="000913C3"/>
    <w:rsid w:val="0009482C"/>
    <w:rsid w:val="000953B9"/>
    <w:rsid w:val="000A2D17"/>
    <w:rsid w:val="000A413B"/>
    <w:rsid w:val="000A6279"/>
    <w:rsid w:val="000B28DE"/>
    <w:rsid w:val="000B496B"/>
    <w:rsid w:val="000C3940"/>
    <w:rsid w:val="000C5992"/>
    <w:rsid w:val="000E1479"/>
    <w:rsid w:val="000E231E"/>
    <w:rsid w:val="000E247D"/>
    <w:rsid w:val="000E6B14"/>
    <w:rsid w:val="000E70D8"/>
    <w:rsid w:val="001062F6"/>
    <w:rsid w:val="00112FC7"/>
    <w:rsid w:val="00113EA9"/>
    <w:rsid w:val="0012130C"/>
    <w:rsid w:val="00122043"/>
    <w:rsid w:val="00124DB2"/>
    <w:rsid w:val="00125F5F"/>
    <w:rsid w:val="00126951"/>
    <w:rsid w:val="00126B60"/>
    <w:rsid w:val="00127EF6"/>
    <w:rsid w:val="001310AD"/>
    <w:rsid w:val="001314A5"/>
    <w:rsid w:val="00131DA5"/>
    <w:rsid w:val="00132C7F"/>
    <w:rsid w:val="00143A11"/>
    <w:rsid w:val="00144DBE"/>
    <w:rsid w:val="00152C8B"/>
    <w:rsid w:val="0015636A"/>
    <w:rsid w:val="001710F2"/>
    <w:rsid w:val="00172053"/>
    <w:rsid w:val="0017491E"/>
    <w:rsid w:val="00177A80"/>
    <w:rsid w:val="001808B8"/>
    <w:rsid w:val="00197659"/>
    <w:rsid w:val="001A50CB"/>
    <w:rsid w:val="001A74B7"/>
    <w:rsid w:val="001B2D47"/>
    <w:rsid w:val="001B5F66"/>
    <w:rsid w:val="001C0250"/>
    <w:rsid w:val="001C11E5"/>
    <w:rsid w:val="001C6DA4"/>
    <w:rsid w:val="001C73B1"/>
    <w:rsid w:val="001D1E7D"/>
    <w:rsid w:val="001D5213"/>
    <w:rsid w:val="001D6567"/>
    <w:rsid w:val="001E2CCB"/>
    <w:rsid w:val="001E2EF3"/>
    <w:rsid w:val="001E4CBA"/>
    <w:rsid w:val="001E5013"/>
    <w:rsid w:val="001E523C"/>
    <w:rsid w:val="001E6008"/>
    <w:rsid w:val="001E61DF"/>
    <w:rsid w:val="001F2B9F"/>
    <w:rsid w:val="001F3A35"/>
    <w:rsid w:val="001F5954"/>
    <w:rsid w:val="001F74B6"/>
    <w:rsid w:val="00202DD3"/>
    <w:rsid w:val="00206E7D"/>
    <w:rsid w:val="002109F9"/>
    <w:rsid w:val="00217E14"/>
    <w:rsid w:val="00217EFD"/>
    <w:rsid w:val="00222134"/>
    <w:rsid w:val="0022233F"/>
    <w:rsid w:val="00222EE6"/>
    <w:rsid w:val="00226275"/>
    <w:rsid w:val="002262E8"/>
    <w:rsid w:val="00226E00"/>
    <w:rsid w:val="0024021A"/>
    <w:rsid w:val="00241104"/>
    <w:rsid w:val="00245732"/>
    <w:rsid w:val="00246564"/>
    <w:rsid w:val="00246A3B"/>
    <w:rsid w:val="00250FBF"/>
    <w:rsid w:val="00254A51"/>
    <w:rsid w:val="00255404"/>
    <w:rsid w:val="0025594F"/>
    <w:rsid w:val="002651B3"/>
    <w:rsid w:val="00266A23"/>
    <w:rsid w:val="00270C5E"/>
    <w:rsid w:val="00290A03"/>
    <w:rsid w:val="0029159A"/>
    <w:rsid w:val="00291600"/>
    <w:rsid w:val="002A02F4"/>
    <w:rsid w:val="002C27ED"/>
    <w:rsid w:val="002C2C41"/>
    <w:rsid w:val="002C505C"/>
    <w:rsid w:val="002C62E7"/>
    <w:rsid w:val="002D5984"/>
    <w:rsid w:val="002E05E2"/>
    <w:rsid w:val="002E2DD6"/>
    <w:rsid w:val="002E3F28"/>
    <w:rsid w:val="002E4D7D"/>
    <w:rsid w:val="002E501E"/>
    <w:rsid w:val="002F0E52"/>
    <w:rsid w:val="002F2274"/>
    <w:rsid w:val="002F2405"/>
    <w:rsid w:val="002F690F"/>
    <w:rsid w:val="00302A83"/>
    <w:rsid w:val="0030301F"/>
    <w:rsid w:val="00303B21"/>
    <w:rsid w:val="00310311"/>
    <w:rsid w:val="003105A5"/>
    <w:rsid w:val="00311CD2"/>
    <w:rsid w:val="00313701"/>
    <w:rsid w:val="00314430"/>
    <w:rsid w:val="00316188"/>
    <w:rsid w:val="003162B4"/>
    <w:rsid w:val="003171AF"/>
    <w:rsid w:val="00317469"/>
    <w:rsid w:val="0032215C"/>
    <w:rsid w:val="0032616B"/>
    <w:rsid w:val="00326687"/>
    <w:rsid w:val="003275F9"/>
    <w:rsid w:val="003276BF"/>
    <w:rsid w:val="00330DD4"/>
    <w:rsid w:val="003312DA"/>
    <w:rsid w:val="003345D2"/>
    <w:rsid w:val="00335319"/>
    <w:rsid w:val="003355AC"/>
    <w:rsid w:val="00343D6B"/>
    <w:rsid w:val="00346090"/>
    <w:rsid w:val="00347FB5"/>
    <w:rsid w:val="00350B96"/>
    <w:rsid w:val="00351E4B"/>
    <w:rsid w:val="00355515"/>
    <w:rsid w:val="003608B5"/>
    <w:rsid w:val="003613AF"/>
    <w:rsid w:val="003878C1"/>
    <w:rsid w:val="00393EE5"/>
    <w:rsid w:val="003960B7"/>
    <w:rsid w:val="00396C0B"/>
    <w:rsid w:val="003A19F6"/>
    <w:rsid w:val="003A630F"/>
    <w:rsid w:val="003B3958"/>
    <w:rsid w:val="003B4820"/>
    <w:rsid w:val="003B5F4B"/>
    <w:rsid w:val="003B625D"/>
    <w:rsid w:val="003B682F"/>
    <w:rsid w:val="003C53FC"/>
    <w:rsid w:val="003C5718"/>
    <w:rsid w:val="003C7013"/>
    <w:rsid w:val="003D4704"/>
    <w:rsid w:val="003D641B"/>
    <w:rsid w:val="003F227C"/>
    <w:rsid w:val="003F22EF"/>
    <w:rsid w:val="004023CC"/>
    <w:rsid w:val="0040672C"/>
    <w:rsid w:val="00407564"/>
    <w:rsid w:val="00411152"/>
    <w:rsid w:val="004156AA"/>
    <w:rsid w:val="004253A1"/>
    <w:rsid w:val="004313B6"/>
    <w:rsid w:val="00433339"/>
    <w:rsid w:val="00446BBC"/>
    <w:rsid w:val="004472C0"/>
    <w:rsid w:val="00450705"/>
    <w:rsid w:val="00451928"/>
    <w:rsid w:val="00451DD2"/>
    <w:rsid w:val="004540E3"/>
    <w:rsid w:val="00460B5D"/>
    <w:rsid w:val="0046618B"/>
    <w:rsid w:val="004708F9"/>
    <w:rsid w:val="00482E93"/>
    <w:rsid w:val="0048608C"/>
    <w:rsid w:val="00496E57"/>
    <w:rsid w:val="004B3E10"/>
    <w:rsid w:val="004C0F5D"/>
    <w:rsid w:val="004C2B30"/>
    <w:rsid w:val="004C375A"/>
    <w:rsid w:val="004C4954"/>
    <w:rsid w:val="004C5585"/>
    <w:rsid w:val="004C5767"/>
    <w:rsid w:val="004D0080"/>
    <w:rsid w:val="004D5322"/>
    <w:rsid w:val="004D78B0"/>
    <w:rsid w:val="004D7C55"/>
    <w:rsid w:val="004E27A6"/>
    <w:rsid w:val="004E611F"/>
    <w:rsid w:val="004F13D0"/>
    <w:rsid w:val="004F2A79"/>
    <w:rsid w:val="004F4D37"/>
    <w:rsid w:val="004F7FEA"/>
    <w:rsid w:val="00501A14"/>
    <w:rsid w:val="00501DE3"/>
    <w:rsid w:val="005058CB"/>
    <w:rsid w:val="0051044D"/>
    <w:rsid w:val="00512204"/>
    <w:rsid w:val="005139E4"/>
    <w:rsid w:val="00514C8A"/>
    <w:rsid w:val="00515075"/>
    <w:rsid w:val="00516D12"/>
    <w:rsid w:val="00520157"/>
    <w:rsid w:val="00520FE9"/>
    <w:rsid w:val="005233E7"/>
    <w:rsid w:val="0052610D"/>
    <w:rsid w:val="00526C8D"/>
    <w:rsid w:val="005328B2"/>
    <w:rsid w:val="00534915"/>
    <w:rsid w:val="005357AA"/>
    <w:rsid w:val="00535BD5"/>
    <w:rsid w:val="00537D8F"/>
    <w:rsid w:val="00540977"/>
    <w:rsid w:val="00546F90"/>
    <w:rsid w:val="00551668"/>
    <w:rsid w:val="005572D5"/>
    <w:rsid w:val="00566BE4"/>
    <w:rsid w:val="00570D21"/>
    <w:rsid w:val="00575E19"/>
    <w:rsid w:val="00576113"/>
    <w:rsid w:val="00590652"/>
    <w:rsid w:val="0059235F"/>
    <w:rsid w:val="00596936"/>
    <w:rsid w:val="005A2F1E"/>
    <w:rsid w:val="005A4232"/>
    <w:rsid w:val="005A4836"/>
    <w:rsid w:val="005B31DC"/>
    <w:rsid w:val="005C2E6F"/>
    <w:rsid w:val="005C3616"/>
    <w:rsid w:val="005D2B80"/>
    <w:rsid w:val="005D36B2"/>
    <w:rsid w:val="005D52E7"/>
    <w:rsid w:val="005D78B5"/>
    <w:rsid w:val="005E3572"/>
    <w:rsid w:val="005E45E4"/>
    <w:rsid w:val="005F070E"/>
    <w:rsid w:val="005F0A81"/>
    <w:rsid w:val="005F0FCF"/>
    <w:rsid w:val="005F6104"/>
    <w:rsid w:val="005F63F9"/>
    <w:rsid w:val="0060042F"/>
    <w:rsid w:val="006008BC"/>
    <w:rsid w:val="00602CFD"/>
    <w:rsid w:val="00606B55"/>
    <w:rsid w:val="00612A7B"/>
    <w:rsid w:val="00616E5E"/>
    <w:rsid w:val="006173A4"/>
    <w:rsid w:val="006205AD"/>
    <w:rsid w:val="00625C3A"/>
    <w:rsid w:val="0063012A"/>
    <w:rsid w:val="00635DDB"/>
    <w:rsid w:val="00636940"/>
    <w:rsid w:val="0064149A"/>
    <w:rsid w:val="00646DFE"/>
    <w:rsid w:val="00650530"/>
    <w:rsid w:val="00650C96"/>
    <w:rsid w:val="00652E66"/>
    <w:rsid w:val="00653788"/>
    <w:rsid w:val="0065477F"/>
    <w:rsid w:val="0065581B"/>
    <w:rsid w:val="006560B3"/>
    <w:rsid w:val="00656896"/>
    <w:rsid w:val="00661656"/>
    <w:rsid w:val="0066374F"/>
    <w:rsid w:val="00667F7B"/>
    <w:rsid w:val="00677732"/>
    <w:rsid w:val="00677C65"/>
    <w:rsid w:val="0068318C"/>
    <w:rsid w:val="0069188B"/>
    <w:rsid w:val="00693152"/>
    <w:rsid w:val="00694FAE"/>
    <w:rsid w:val="00696E3A"/>
    <w:rsid w:val="006A0834"/>
    <w:rsid w:val="006A4BBD"/>
    <w:rsid w:val="006A52F1"/>
    <w:rsid w:val="006A5968"/>
    <w:rsid w:val="006B561D"/>
    <w:rsid w:val="006B6D5D"/>
    <w:rsid w:val="006D2330"/>
    <w:rsid w:val="006D4731"/>
    <w:rsid w:val="006E0F8B"/>
    <w:rsid w:val="006E12F7"/>
    <w:rsid w:val="006E29D7"/>
    <w:rsid w:val="006F08B1"/>
    <w:rsid w:val="006F19C2"/>
    <w:rsid w:val="006F6F3F"/>
    <w:rsid w:val="00702A11"/>
    <w:rsid w:val="00705735"/>
    <w:rsid w:val="007068A4"/>
    <w:rsid w:val="00706D67"/>
    <w:rsid w:val="00713052"/>
    <w:rsid w:val="00721367"/>
    <w:rsid w:val="007231FA"/>
    <w:rsid w:val="007273E1"/>
    <w:rsid w:val="00732C67"/>
    <w:rsid w:val="00734418"/>
    <w:rsid w:val="007422A1"/>
    <w:rsid w:val="0075635E"/>
    <w:rsid w:val="00757080"/>
    <w:rsid w:val="00757826"/>
    <w:rsid w:val="00762B13"/>
    <w:rsid w:val="0076311E"/>
    <w:rsid w:val="007632B7"/>
    <w:rsid w:val="0076382F"/>
    <w:rsid w:val="00765768"/>
    <w:rsid w:val="00765D10"/>
    <w:rsid w:val="00766AC8"/>
    <w:rsid w:val="00767486"/>
    <w:rsid w:val="00767B0D"/>
    <w:rsid w:val="0077070E"/>
    <w:rsid w:val="0077296A"/>
    <w:rsid w:val="007773E8"/>
    <w:rsid w:val="00777CA4"/>
    <w:rsid w:val="007833E5"/>
    <w:rsid w:val="00784532"/>
    <w:rsid w:val="00792DF0"/>
    <w:rsid w:val="0079438F"/>
    <w:rsid w:val="007A20E3"/>
    <w:rsid w:val="007A3034"/>
    <w:rsid w:val="007A43F8"/>
    <w:rsid w:val="007A527E"/>
    <w:rsid w:val="007A53E7"/>
    <w:rsid w:val="007A78F7"/>
    <w:rsid w:val="007B3333"/>
    <w:rsid w:val="007B379F"/>
    <w:rsid w:val="007B37D6"/>
    <w:rsid w:val="007B5AA2"/>
    <w:rsid w:val="007B5D30"/>
    <w:rsid w:val="007C2E50"/>
    <w:rsid w:val="007D16D1"/>
    <w:rsid w:val="007D2525"/>
    <w:rsid w:val="007D2920"/>
    <w:rsid w:val="007D42DD"/>
    <w:rsid w:val="007E6A37"/>
    <w:rsid w:val="007F1774"/>
    <w:rsid w:val="007F593C"/>
    <w:rsid w:val="00811A70"/>
    <w:rsid w:val="0081406E"/>
    <w:rsid w:val="008207AE"/>
    <w:rsid w:val="00832211"/>
    <w:rsid w:val="008325F4"/>
    <w:rsid w:val="00832AC8"/>
    <w:rsid w:val="008465C1"/>
    <w:rsid w:val="00846FA4"/>
    <w:rsid w:val="008524BA"/>
    <w:rsid w:val="00852B74"/>
    <w:rsid w:val="00856928"/>
    <w:rsid w:val="00865538"/>
    <w:rsid w:val="00867019"/>
    <w:rsid w:val="00870875"/>
    <w:rsid w:val="00881D6E"/>
    <w:rsid w:val="0088225C"/>
    <w:rsid w:val="00884026"/>
    <w:rsid w:val="00884C78"/>
    <w:rsid w:val="008859E1"/>
    <w:rsid w:val="00896264"/>
    <w:rsid w:val="008A0BC2"/>
    <w:rsid w:val="008A2549"/>
    <w:rsid w:val="008A5D88"/>
    <w:rsid w:val="008A5F78"/>
    <w:rsid w:val="008B2851"/>
    <w:rsid w:val="008C000E"/>
    <w:rsid w:val="008D0E0E"/>
    <w:rsid w:val="008D0F2F"/>
    <w:rsid w:val="008D237F"/>
    <w:rsid w:val="008D3FD8"/>
    <w:rsid w:val="008D6B05"/>
    <w:rsid w:val="008E7D2D"/>
    <w:rsid w:val="008F44C0"/>
    <w:rsid w:val="008F5999"/>
    <w:rsid w:val="00903AD6"/>
    <w:rsid w:val="00904D7A"/>
    <w:rsid w:val="00915332"/>
    <w:rsid w:val="00915FEB"/>
    <w:rsid w:val="009204BB"/>
    <w:rsid w:val="009276C4"/>
    <w:rsid w:val="00935918"/>
    <w:rsid w:val="00935EC3"/>
    <w:rsid w:val="00951097"/>
    <w:rsid w:val="00952592"/>
    <w:rsid w:val="00953C1E"/>
    <w:rsid w:val="00961F70"/>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7401"/>
    <w:rsid w:val="009A76D5"/>
    <w:rsid w:val="009B001A"/>
    <w:rsid w:val="009B1A62"/>
    <w:rsid w:val="009B5B2A"/>
    <w:rsid w:val="009C0C55"/>
    <w:rsid w:val="009C3CC7"/>
    <w:rsid w:val="009D2057"/>
    <w:rsid w:val="009D3D6C"/>
    <w:rsid w:val="009D5551"/>
    <w:rsid w:val="009D62DB"/>
    <w:rsid w:val="009E3B42"/>
    <w:rsid w:val="009F518A"/>
    <w:rsid w:val="00A02AF6"/>
    <w:rsid w:val="00A05B60"/>
    <w:rsid w:val="00A13266"/>
    <w:rsid w:val="00A14D7F"/>
    <w:rsid w:val="00A14FA6"/>
    <w:rsid w:val="00A15D64"/>
    <w:rsid w:val="00A20575"/>
    <w:rsid w:val="00A241F6"/>
    <w:rsid w:val="00A26393"/>
    <w:rsid w:val="00A32452"/>
    <w:rsid w:val="00A325CC"/>
    <w:rsid w:val="00A32BBF"/>
    <w:rsid w:val="00A372DD"/>
    <w:rsid w:val="00A37444"/>
    <w:rsid w:val="00A4145C"/>
    <w:rsid w:val="00A4281A"/>
    <w:rsid w:val="00A459CF"/>
    <w:rsid w:val="00A45FA5"/>
    <w:rsid w:val="00A5014D"/>
    <w:rsid w:val="00A53E96"/>
    <w:rsid w:val="00A56F18"/>
    <w:rsid w:val="00A628F8"/>
    <w:rsid w:val="00A62BAA"/>
    <w:rsid w:val="00A66172"/>
    <w:rsid w:val="00A744C3"/>
    <w:rsid w:val="00A81E67"/>
    <w:rsid w:val="00A84405"/>
    <w:rsid w:val="00A85246"/>
    <w:rsid w:val="00A860C5"/>
    <w:rsid w:val="00AA70AB"/>
    <w:rsid w:val="00AB0B9F"/>
    <w:rsid w:val="00AB1713"/>
    <w:rsid w:val="00AB1F97"/>
    <w:rsid w:val="00AB63BE"/>
    <w:rsid w:val="00AC1EBC"/>
    <w:rsid w:val="00AC2599"/>
    <w:rsid w:val="00AC2DE9"/>
    <w:rsid w:val="00AC3CD9"/>
    <w:rsid w:val="00AD2C5F"/>
    <w:rsid w:val="00AE1481"/>
    <w:rsid w:val="00AE27F9"/>
    <w:rsid w:val="00AE3C4B"/>
    <w:rsid w:val="00AE77DB"/>
    <w:rsid w:val="00AF7453"/>
    <w:rsid w:val="00AF77AF"/>
    <w:rsid w:val="00B00FFF"/>
    <w:rsid w:val="00B048ED"/>
    <w:rsid w:val="00B06084"/>
    <w:rsid w:val="00B16735"/>
    <w:rsid w:val="00B17EDE"/>
    <w:rsid w:val="00B22585"/>
    <w:rsid w:val="00B33693"/>
    <w:rsid w:val="00B34C53"/>
    <w:rsid w:val="00B507A5"/>
    <w:rsid w:val="00B52475"/>
    <w:rsid w:val="00B535DA"/>
    <w:rsid w:val="00B56DCC"/>
    <w:rsid w:val="00B56F54"/>
    <w:rsid w:val="00B638C2"/>
    <w:rsid w:val="00B701C8"/>
    <w:rsid w:val="00B707DE"/>
    <w:rsid w:val="00B758AB"/>
    <w:rsid w:val="00B76277"/>
    <w:rsid w:val="00B772AB"/>
    <w:rsid w:val="00B80395"/>
    <w:rsid w:val="00B80B56"/>
    <w:rsid w:val="00B86372"/>
    <w:rsid w:val="00B909DD"/>
    <w:rsid w:val="00BA1C17"/>
    <w:rsid w:val="00BA1D65"/>
    <w:rsid w:val="00BA44B2"/>
    <w:rsid w:val="00BB2A66"/>
    <w:rsid w:val="00BB3B4D"/>
    <w:rsid w:val="00BC2BDD"/>
    <w:rsid w:val="00BC351E"/>
    <w:rsid w:val="00BC3F77"/>
    <w:rsid w:val="00BC5635"/>
    <w:rsid w:val="00BC5675"/>
    <w:rsid w:val="00BC7AFC"/>
    <w:rsid w:val="00BD081C"/>
    <w:rsid w:val="00BD180B"/>
    <w:rsid w:val="00BD277B"/>
    <w:rsid w:val="00BD47CA"/>
    <w:rsid w:val="00BD62C7"/>
    <w:rsid w:val="00BE020D"/>
    <w:rsid w:val="00BE0CA5"/>
    <w:rsid w:val="00BE349F"/>
    <w:rsid w:val="00BE354A"/>
    <w:rsid w:val="00BF5EEF"/>
    <w:rsid w:val="00BF7A9A"/>
    <w:rsid w:val="00C02553"/>
    <w:rsid w:val="00C04EB6"/>
    <w:rsid w:val="00C056F9"/>
    <w:rsid w:val="00C064B9"/>
    <w:rsid w:val="00C07A7B"/>
    <w:rsid w:val="00C1018C"/>
    <w:rsid w:val="00C1150E"/>
    <w:rsid w:val="00C14D52"/>
    <w:rsid w:val="00C2586C"/>
    <w:rsid w:val="00C26001"/>
    <w:rsid w:val="00C31403"/>
    <w:rsid w:val="00C34E72"/>
    <w:rsid w:val="00C3693E"/>
    <w:rsid w:val="00C56B1F"/>
    <w:rsid w:val="00C61B52"/>
    <w:rsid w:val="00C62745"/>
    <w:rsid w:val="00C654CA"/>
    <w:rsid w:val="00C763BD"/>
    <w:rsid w:val="00C779A8"/>
    <w:rsid w:val="00C82E19"/>
    <w:rsid w:val="00C850CA"/>
    <w:rsid w:val="00C941D4"/>
    <w:rsid w:val="00C96873"/>
    <w:rsid w:val="00C9754A"/>
    <w:rsid w:val="00CA1735"/>
    <w:rsid w:val="00CA207E"/>
    <w:rsid w:val="00CA2178"/>
    <w:rsid w:val="00CA3C4B"/>
    <w:rsid w:val="00CA7252"/>
    <w:rsid w:val="00CB2C5A"/>
    <w:rsid w:val="00CD1826"/>
    <w:rsid w:val="00CD6B72"/>
    <w:rsid w:val="00CE0C1C"/>
    <w:rsid w:val="00CE34AF"/>
    <w:rsid w:val="00CF00A4"/>
    <w:rsid w:val="00CF25FB"/>
    <w:rsid w:val="00CF32F1"/>
    <w:rsid w:val="00CF614C"/>
    <w:rsid w:val="00D02F34"/>
    <w:rsid w:val="00D129CC"/>
    <w:rsid w:val="00D13D87"/>
    <w:rsid w:val="00D16590"/>
    <w:rsid w:val="00D16599"/>
    <w:rsid w:val="00D20720"/>
    <w:rsid w:val="00D22ECC"/>
    <w:rsid w:val="00D232D9"/>
    <w:rsid w:val="00D24246"/>
    <w:rsid w:val="00D250D9"/>
    <w:rsid w:val="00D27533"/>
    <w:rsid w:val="00D40F9E"/>
    <w:rsid w:val="00D42DA3"/>
    <w:rsid w:val="00D4546D"/>
    <w:rsid w:val="00D45919"/>
    <w:rsid w:val="00D47996"/>
    <w:rsid w:val="00D50C35"/>
    <w:rsid w:val="00D61118"/>
    <w:rsid w:val="00D614F1"/>
    <w:rsid w:val="00D70D50"/>
    <w:rsid w:val="00D71917"/>
    <w:rsid w:val="00D95E68"/>
    <w:rsid w:val="00DA3A0F"/>
    <w:rsid w:val="00DA4E62"/>
    <w:rsid w:val="00DA6990"/>
    <w:rsid w:val="00DA7307"/>
    <w:rsid w:val="00DB27BA"/>
    <w:rsid w:val="00DB3009"/>
    <w:rsid w:val="00DB337A"/>
    <w:rsid w:val="00DC034A"/>
    <w:rsid w:val="00DC039E"/>
    <w:rsid w:val="00DC51CB"/>
    <w:rsid w:val="00DD3EA5"/>
    <w:rsid w:val="00DD4819"/>
    <w:rsid w:val="00DD4B8A"/>
    <w:rsid w:val="00DD5403"/>
    <w:rsid w:val="00DE1388"/>
    <w:rsid w:val="00DE4CF3"/>
    <w:rsid w:val="00DE7501"/>
    <w:rsid w:val="00DF3146"/>
    <w:rsid w:val="00DF3C62"/>
    <w:rsid w:val="00DF57C3"/>
    <w:rsid w:val="00E008D9"/>
    <w:rsid w:val="00E02FE0"/>
    <w:rsid w:val="00E05BBA"/>
    <w:rsid w:val="00E07ABE"/>
    <w:rsid w:val="00E11A3F"/>
    <w:rsid w:val="00E1386E"/>
    <w:rsid w:val="00E2369B"/>
    <w:rsid w:val="00E23EC0"/>
    <w:rsid w:val="00E354AA"/>
    <w:rsid w:val="00E43D54"/>
    <w:rsid w:val="00E442FB"/>
    <w:rsid w:val="00E44500"/>
    <w:rsid w:val="00E529DB"/>
    <w:rsid w:val="00E53A5E"/>
    <w:rsid w:val="00E6466A"/>
    <w:rsid w:val="00E65B3C"/>
    <w:rsid w:val="00E72221"/>
    <w:rsid w:val="00E75CB2"/>
    <w:rsid w:val="00E77DF2"/>
    <w:rsid w:val="00E81B96"/>
    <w:rsid w:val="00E83428"/>
    <w:rsid w:val="00E84C58"/>
    <w:rsid w:val="00E85838"/>
    <w:rsid w:val="00E873A5"/>
    <w:rsid w:val="00E90D11"/>
    <w:rsid w:val="00E915E5"/>
    <w:rsid w:val="00EA6A02"/>
    <w:rsid w:val="00EB0367"/>
    <w:rsid w:val="00EB4FB9"/>
    <w:rsid w:val="00EB5BC8"/>
    <w:rsid w:val="00EC1860"/>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5EE0"/>
    <w:rsid w:val="00F87CCE"/>
    <w:rsid w:val="00F903BE"/>
    <w:rsid w:val="00F95D04"/>
    <w:rsid w:val="00FA16EC"/>
    <w:rsid w:val="00FA2811"/>
    <w:rsid w:val="00FA40DD"/>
    <w:rsid w:val="00FA4837"/>
    <w:rsid w:val="00FB1D33"/>
    <w:rsid w:val="00FB5E96"/>
    <w:rsid w:val="00FB6D84"/>
    <w:rsid w:val="00FC05A0"/>
    <w:rsid w:val="00FC6758"/>
    <w:rsid w:val="00FD34EA"/>
    <w:rsid w:val="00FE3F3E"/>
    <w:rsid w:val="00FE4D52"/>
    <w:rsid w:val="00FE5AEE"/>
    <w:rsid w:val="00FF106B"/>
    <w:rsid w:val="00FF14AA"/>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3960B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960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CA2178"/>
    <w:rPr>
      <w:sz w:val="16"/>
      <w:szCs w:val="16"/>
    </w:rPr>
  </w:style>
  <w:style w:type="paragraph" w:styleId="CommentSubject">
    <w:name w:val="annotation subject"/>
    <w:basedOn w:val="CommentText"/>
    <w:next w:val="CommentText"/>
    <w:link w:val="CommentSubjectChar"/>
    <w:uiPriority w:val="99"/>
    <w:semiHidden/>
    <w:unhideWhenUsed/>
    <w:rsid w:val="009C0C55"/>
    <w:rPr>
      <w:b/>
      <w:bCs/>
    </w:rPr>
  </w:style>
  <w:style w:type="character" w:customStyle="1" w:styleId="CommentSubjectChar">
    <w:name w:val="Comment Subject Char"/>
    <w:basedOn w:val="CommentTextChar"/>
    <w:link w:val="CommentSubject"/>
    <w:uiPriority w:val="99"/>
    <w:semiHidden/>
    <w:rsid w:val="009C0C55"/>
    <w:rPr>
      <w:rFonts w:ascii="Arial" w:hAnsi="Arial"/>
      <w:b/>
      <w:bCs/>
    </w:rPr>
  </w:style>
  <w:style w:type="character" w:styleId="BookTitle">
    <w:name w:val="Book Title"/>
    <w:basedOn w:val="DefaultParagraphFont"/>
    <w:uiPriority w:val="33"/>
    <w:qFormat/>
    <w:rsid w:val="003960B7"/>
    <w:rPr>
      <w:b/>
      <w:bCs/>
      <w:i/>
      <w:iCs/>
      <w:spacing w:val="5"/>
    </w:rPr>
  </w:style>
  <w:style w:type="paragraph" w:styleId="Caption">
    <w:name w:val="caption"/>
    <w:basedOn w:val="Normal"/>
    <w:next w:val="Normal"/>
    <w:uiPriority w:val="35"/>
    <w:semiHidden/>
    <w:unhideWhenUsed/>
    <w:qFormat/>
    <w:rsid w:val="003960B7"/>
    <w:pPr>
      <w:spacing w:after="200"/>
    </w:pPr>
    <w:rPr>
      <w:i/>
      <w:iCs/>
      <w:color w:val="1F497D" w:themeColor="text2"/>
      <w:sz w:val="18"/>
      <w:szCs w:val="18"/>
    </w:rPr>
  </w:style>
  <w:style w:type="character" w:customStyle="1" w:styleId="Heading7Char">
    <w:name w:val="Heading 7 Char"/>
    <w:basedOn w:val="DefaultParagraphFont"/>
    <w:link w:val="Heading7"/>
    <w:uiPriority w:val="9"/>
    <w:semiHidden/>
    <w:rsid w:val="003960B7"/>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3960B7"/>
    <w:rPr>
      <w:rFonts w:asciiTheme="majorHAnsi" w:eastAsiaTheme="majorEastAsia" w:hAnsiTheme="majorHAnsi" w:cstheme="majorBidi"/>
      <w:color w:val="272727" w:themeColor="text1" w:themeTint="D8"/>
      <w:sz w:val="21"/>
      <w:szCs w:val="21"/>
    </w:rPr>
  </w:style>
  <w:style w:type="character" w:styleId="IntenseEmphasis">
    <w:name w:val="Intense Emphasis"/>
    <w:basedOn w:val="DefaultParagraphFont"/>
    <w:uiPriority w:val="21"/>
    <w:qFormat/>
    <w:rsid w:val="003960B7"/>
    <w:rPr>
      <w:i/>
      <w:iCs/>
      <w:color w:val="4F81BD" w:themeColor="accent1"/>
    </w:rPr>
  </w:style>
  <w:style w:type="paragraph" w:styleId="IntenseQuote">
    <w:name w:val="Intense Quote"/>
    <w:basedOn w:val="Normal"/>
    <w:next w:val="Normal"/>
    <w:link w:val="IntenseQuoteChar"/>
    <w:uiPriority w:val="30"/>
    <w:qFormat/>
    <w:rsid w:val="003960B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960B7"/>
    <w:rPr>
      <w:rFonts w:ascii="Arial" w:hAnsi="Arial"/>
      <w:i/>
      <w:iCs/>
      <w:color w:val="4F81BD" w:themeColor="accent1"/>
      <w:szCs w:val="24"/>
    </w:rPr>
  </w:style>
  <w:style w:type="character" w:styleId="IntenseReference">
    <w:name w:val="Intense Reference"/>
    <w:basedOn w:val="DefaultParagraphFont"/>
    <w:uiPriority w:val="32"/>
    <w:qFormat/>
    <w:rsid w:val="003960B7"/>
    <w:rPr>
      <w:b/>
      <w:bCs/>
      <w:smallCaps/>
      <w:color w:val="4F81BD" w:themeColor="accent1"/>
      <w:spacing w:val="5"/>
    </w:rPr>
  </w:style>
  <w:style w:type="paragraph" w:styleId="Quote">
    <w:name w:val="Quote"/>
    <w:basedOn w:val="Normal"/>
    <w:next w:val="Normal"/>
    <w:link w:val="QuoteChar"/>
    <w:uiPriority w:val="29"/>
    <w:qFormat/>
    <w:rsid w:val="003960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60B7"/>
    <w:rPr>
      <w:rFonts w:ascii="Arial" w:hAnsi="Arial"/>
      <w:i/>
      <w:iCs/>
      <w:color w:val="404040" w:themeColor="text1" w:themeTint="BF"/>
      <w:szCs w:val="24"/>
    </w:rPr>
  </w:style>
  <w:style w:type="character" w:styleId="Strong">
    <w:name w:val="Strong"/>
    <w:basedOn w:val="DefaultParagraphFont"/>
    <w:uiPriority w:val="22"/>
    <w:qFormat/>
    <w:rsid w:val="003960B7"/>
    <w:rPr>
      <w:b/>
      <w:bCs/>
    </w:rPr>
  </w:style>
  <w:style w:type="paragraph" w:styleId="Subtitle">
    <w:name w:val="Subtitle"/>
    <w:basedOn w:val="Normal"/>
    <w:next w:val="Normal"/>
    <w:link w:val="SubtitleChar"/>
    <w:uiPriority w:val="11"/>
    <w:qFormat/>
    <w:rsid w:val="003960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60B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960B7"/>
    <w:rPr>
      <w:i/>
      <w:iCs/>
      <w:color w:val="404040" w:themeColor="text1" w:themeTint="BF"/>
    </w:rPr>
  </w:style>
  <w:style w:type="character" w:styleId="SubtleReference">
    <w:name w:val="Subtle Reference"/>
    <w:basedOn w:val="DefaultParagraphFont"/>
    <w:uiPriority w:val="31"/>
    <w:qFormat/>
    <w:rsid w:val="003960B7"/>
    <w:rPr>
      <w:smallCaps/>
      <w:color w:val="5A5A5A" w:themeColor="text1" w:themeTint="A5"/>
    </w:rPr>
  </w:style>
  <w:style w:type="paragraph" w:styleId="TOCHeading">
    <w:name w:val="TOC Heading"/>
    <w:basedOn w:val="Heading1"/>
    <w:next w:val="Normal"/>
    <w:uiPriority w:val="39"/>
    <w:semiHidden/>
    <w:unhideWhenUsed/>
    <w:qFormat/>
    <w:rsid w:val="003960B7"/>
    <w:pPr>
      <w:keepNext/>
      <w:keepLines/>
      <w:suppressAutoHyphens w:val="0"/>
      <w:spacing w:before="240" w:after="0" w:line="240"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Revision">
    <w:name w:val="Revision"/>
    <w:hidden/>
    <w:uiPriority w:val="99"/>
    <w:semiHidden/>
    <w:rsid w:val="004708F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16/j.nmd.2017.11.00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er-review.org/wp-content/uploads/2018/07/ICER_SMA_Final_Evidence_Report_052419.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A72A4A13-E8C8-4A97-A905-28F7244AF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 id="{b394479e-9b45-4627-9609-c760204f7770}" enabled="0" method="" siteId="{b394479e-9b45-4627-9609-c760204f7770}" removed="1"/>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1734</Words>
  <Characters>9887</Characters>
  <Application>Microsoft Office Word</Application>
  <DocSecurity>10</DocSecurity>
  <Lines>82</Lines>
  <Paragraphs>23</Paragraphs>
  <ScaleCrop>false</ScaleCrop>
  <HeadingPairs>
    <vt:vector size="2" baseType="variant">
      <vt:variant>
        <vt:lpstr>Title</vt:lpstr>
      </vt:variant>
      <vt:variant>
        <vt:i4>1</vt:i4>
      </vt:variant>
    </vt:vector>
  </HeadingPairs>
  <TitlesOfParts>
    <vt:vector size="1" baseType="lpstr">
      <vt:lpstr>Spinal Muscular Atrophy (SMA) Clinical Edit</vt:lpstr>
    </vt:vector>
  </TitlesOfParts>
  <Company>DSS</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Spinal Muscular Atrophy (SMA) Clinical Edit</dc:title>
  <dc:subject/>
  <dc:creator>DMS</dc:creator>
  <cp:keywords/>
  <cp:lastModifiedBy>Hammond, Chelsea</cp:lastModifiedBy>
  <cp:revision>6</cp:revision>
  <cp:lastPrinted>2018-10-31T18:17:00Z</cp:lastPrinted>
  <dcterms:created xsi:type="dcterms:W3CDTF">2026-10-07T16:51:00Z</dcterms:created>
  <dcterms:modified xsi:type="dcterms:W3CDTF">2026-10-13T15:43:00Z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84cdb0158cd04e0bc81dde1e07c6470d97b35728ca77efcde7e0843cd8e6102c</vt:lpwstr>
  </property>
</Properties>
</file>