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5A570197"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E74E36" w:rsidRPr="00E74E36">
        <w:rPr>
          <w:rFonts w:cs="Arial"/>
          <w:b w:val="0"/>
          <w:bCs/>
        </w:rPr>
        <w:t>Systemic Enzyme Inhibitors, FGFR Inhibitors PDL Edit</w:t>
      </w:r>
    </w:p>
    <w:p w14:paraId="7AD7FFCE" w14:textId="173E16D3" w:rsidR="004C5767" w:rsidRPr="00C02553" w:rsidRDefault="004C5767" w:rsidP="00D27533">
      <w:pPr>
        <w:pStyle w:val="tbody"/>
      </w:pPr>
      <w:r w:rsidRPr="00C02553">
        <w:t xml:space="preserve">First Implementation Date: </w:t>
      </w:r>
      <w:r w:rsidR="00BB0ECB" w:rsidRPr="00BB0ECB">
        <w:rPr>
          <w:rFonts w:cs="Arial"/>
          <w:b w:val="0"/>
          <w:bCs/>
          <w:spacing w:val="-3"/>
        </w:rPr>
        <w:t>April 4, 2024</w:t>
      </w:r>
    </w:p>
    <w:p w14:paraId="4B7D760D" w14:textId="5F4AD28E" w:rsidR="004C5767" w:rsidRPr="00D27533" w:rsidRDefault="00065A29" w:rsidP="00D27533">
      <w:pPr>
        <w:pStyle w:val="tbody"/>
        <w:rPr>
          <w:b w:val="0"/>
          <w:bCs/>
        </w:rPr>
      </w:pPr>
      <w:r>
        <w:t>Propo</w:t>
      </w:r>
      <w:r w:rsidR="00E57D52">
        <w:t>sed</w:t>
      </w:r>
      <w:r w:rsidR="004C5767" w:rsidRPr="00C02553">
        <w:t xml:space="preserve"> 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50ED6061" w:rsidR="004C5767" w:rsidRPr="00D27533" w:rsidRDefault="004C5767" w:rsidP="00D27533">
      <w:pPr>
        <w:pStyle w:val="tbody"/>
        <w:rPr>
          <w:b w:val="0"/>
          <w:bCs/>
          <w:spacing w:val="-3"/>
        </w:rPr>
      </w:pPr>
      <w:r w:rsidRPr="00C02553">
        <w:t xml:space="preserve">Criteria Status: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955C7A3" w14:textId="77777777" w:rsidR="00E5515A" w:rsidRDefault="00E5515A" w:rsidP="00E5515A">
      <w:pPr>
        <w:pStyle w:val="Header"/>
        <w:tabs>
          <w:tab w:val="clear" w:pos="4320"/>
          <w:tab w:val="clear" w:pos="8640"/>
        </w:tabs>
        <w:contextualSpacing/>
        <w:rPr>
          <w:rFonts w:cs="Arial"/>
          <w:sz w:val="20"/>
        </w:rPr>
      </w:pPr>
      <w:r w:rsidRPr="00627656">
        <w:rPr>
          <w:rFonts w:cs="Arial"/>
          <w:sz w:val="20"/>
        </w:rPr>
        <w:t>Cholangiocarcinoma</w:t>
      </w:r>
      <w:r>
        <w:rPr>
          <w:rFonts w:cs="Arial"/>
          <w:sz w:val="20"/>
        </w:rPr>
        <w:t xml:space="preserve"> (CCA), also known as bile duct cancer,</w:t>
      </w:r>
      <w:r w:rsidRPr="00850B96">
        <w:rPr>
          <w:rFonts w:cs="Arial"/>
          <w:sz w:val="20"/>
        </w:rPr>
        <w:t xml:space="preserve"> is a rare cancer with about 8,000 new cases in the United States per year.</w:t>
      </w:r>
      <w:r w:rsidRPr="00FD3984">
        <w:rPr>
          <w:rFonts w:cs="Arial"/>
          <w:color w:val="494C4B"/>
          <w:sz w:val="24"/>
          <w:szCs w:val="24"/>
          <w:shd w:val="clear" w:color="auto" w:fill="FFFFFF"/>
        </w:rPr>
        <w:t xml:space="preserve"> </w:t>
      </w:r>
      <w:r w:rsidRPr="004730BB">
        <w:rPr>
          <w:rFonts w:cs="Arial"/>
          <w:sz w:val="20"/>
        </w:rPr>
        <w:t xml:space="preserve">Surgical resection offers </w:t>
      </w:r>
      <w:proofErr w:type="gramStart"/>
      <w:r w:rsidRPr="004730BB">
        <w:rPr>
          <w:rFonts w:cs="Arial"/>
          <w:sz w:val="20"/>
        </w:rPr>
        <w:t>the only</w:t>
      </w:r>
      <w:proofErr w:type="gramEnd"/>
      <w:r w:rsidRPr="004730BB">
        <w:rPr>
          <w:rFonts w:cs="Arial"/>
          <w:sz w:val="20"/>
        </w:rPr>
        <w:t xml:space="preserve"> chance of cure but is limited to early-stage disease,</w:t>
      </w:r>
      <w:r>
        <w:rPr>
          <w:rFonts w:cs="Arial"/>
          <w:sz w:val="20"/>
        </w:rPr>
        <w:t xml:space="preserve"> </w:t>
      </w:r>
      <w:r w:rsidRPr="004730BB">
        <w:rPr>
          <w:rFonts w:cs="Arial"/>
          <w:sz w:val="20"/>
        </w:rPr>
        <w:t>with</w:t>
      </w:r>
      <w:r>
        <w:rPr>
          <w:rFonts w:cs="Arial"/>
          <w:sz w:val="20"/>
        </w:rPr>
        <w:t xml:space="preserve"> which few patients present</w:t>
      </w:r>
      <w:r w:rsidRPr="004730BB">
        <w:rPr>
          <w:rFonts w:cs="Arial"/>
          <w:sz w:val="20"/>
        </w:rPr>
        <w:t xml:space="preserve">. For advanced </w:t>
      </w:r>
      <w:r>
        <w:rPr>
          <w:rFonts w:cs="Arial"/>
          <w:sz w:val="20"/>
        </w:rPr>
        <w:t>bile duct cancer</w:t>
      </w:r>
      <w:r w:rsidRPr="004730BB">
        <w:rPr>
          <w:rFonts w:cs="Arial"/>
          <w:sz w:val="20"/>
        </w:rPr>
        <w:t>, the first-line systemic treatment, according to clinical guidelines, is cisplatin plus gemcitabine, with or without the addition of durvalumab. Some patients with advanced disease possess molecular alterations amenable to targeted therapy. In cases where a</w:t>
      </w:r>
      <w:r w:rsidRPr="00743576">
        <w:rPr>
          <w:rFonts w:ascii="Times New Roman" w:hAnsi="Times New Roman" w:cs="Arial"/>
          <w:sz w:val="20"/>
          <w:szCs w:val="24"/>
        </w:rPr>
        <w:t xml:space="preserve"> </w:t>
      </w:r>
      <w:r w:rsidRPr="00743576">
        <w:rPr>
          <w:rFonts w:cs="Arial"/>
          <w:sz w:val="20"/>
        </w:rPr>
        <w:t>fibroblast growth factor receptor 2 </w:t>
      </w:r>
      <w:r>
        <w:rPr>
          <w:rFonts w:cs="Arial"/>
          <w:sz w:val="20"/>
        </w:rPr>
        <w:t>(</w:t>
      </w:r>
      <w:r w:rsidRPr="004730BB">
        <w:rPr>
          <w:rFonts w:cs="Arial"/>
          <w:sz w:val="20"/>
        </w:rPr>
        <w:t>FGFR2</w:t>
      </w:r>
      <w:r>
        <w:rPr>
          <w:rFonts w:cs="Arial"/>
          <w:sz w:val="20"/>
        </w:rPr>
        <w:t>)</w:t>
      </w:r>
      <w:r w:rsidRPr="004730BB">
        <w:rPr>
          <w:rFonts w:cs="Arial"/>
          <w:sz w:val="20"/>
        </w:rPr>
        <w:t xml:space="preserve"> gene alteration is present, an FGFR inhibitor is recommended as second-line therapy.</w:t>
      </w:r>
      <w:r>
        <w:rPr>
          <w:rFonts w:cs="Arial"/>
          <w:sz w:val="20"/>
        </w:rPr>
        <w:t xml:space="preserve"> </w:t>
      </w:r>
      <w:r w:rsidRPr="009E3AC9">
        <w:rPr>
          <w:rFonts w:cs="Arial"/>
          <w:sz w:val="20"/>
        </w:rPr>
        <w:t>Approximately 20% of patients diagnosed with bile duct cancer have the intrahepatic form of the disease</w:t>
      </w:r>
      <w:r>
        <w:rPr>
          <w:rFonts w:cs="Arial"/>
          <w:sz w:val="20"/>
        </w:rPr>
        <w:t>, and w</w:t>
      </w:r>
      <w:r w:rsidRPr="009E3AC9">
        <w:rPr>
          <w:rFonts w:cs="Arial"/>
          <w:sz w:val="20"/>
        </w:rPr>
        <w:t>ithin this 20%, approximately 10-16% of patients have FGFR2 gene rearrangements, including fusions, which promote tumor proliferation.</w:t>
      </w:r>
    </w:p>
    <w:p w14:paraId="3AD87F3F" w14:textId="77777777" w:rsidR="00E5515A" w:rsidRDefault="00E5515A" w:rsidP="00E5515A">
      <w:pPr>
        <w:pStyle w:val="Header"/>
        <w:tabs>
          <w:tab w:val="clear" w:pos="4320"/>
          <w:tab w:val="clear" w:pos="8640"/>
        </w:tabs>
        <w:contextualSpacing/>
        <w:rPr>
          <w:rFonts w:cs="Arial"/>
          <w:sz w:val="20"/>
        </w:rPr>
      </w:pPr>
    </w:p>
    <w:p w14:paraId="1E967539" w14:textId="1F119D97" w:rsidR="00E5515A" w:rsidRPr="00D73C07" w:rsidRDefault="00E5515A" w:rsidP="00E5515A">
      <w:pPr>
        <w:pStyle w:val="Header"/>
        <w:tabs>
          <w:tab w:val="clear" w:pos="4320"/>
          <w:tab w:val="clear" w:pos="8640"/>
        </w:tabs>
        <w:contextualSpacing/>
        <w:rPr>
          <w:rFonts w:cs="Arial"/>
          <w:sz w:val="20"/>
        </w:rPr>
      </w:pPr>
      <w:proofErr w:type="spellStart"/>
      <w:r w:rsidRPr="00161325">
        <w:rPr>
          <w:rFonts w:cs="Arial"/>
          <w:iCs/>
          <w:sz w:val="20"/>
        </w:rPr>
        <w:t>Lytgobi</w:t>
      </w:r>
      <w:proofErr w:type="spellEnd"/>
      <w:r>
        <w:rPr>
          <w:rFonts w:cs="Arial"/>
          <w:iCs/>
          <w:sz w:val="20"/>
          <w:vertAlign w:val="superscript"/>
        </w:rPr>
        <w:t xml:space="preserve"> </w:t>
      </w:r>
      <w:r w:rsidRPr="008A4E19">
        <w:rPr>
          <w:rFonts w:cs="Arial"/>
          <w:iCs/>
          <w:sz w:val="20"/>
        </w:rPr>
        <w:t>(</w:t>
      </w:r>
      <w:proofErr w:type="spellStart"/>
      <w:r w:rsidRPr="000B7CA5">
        <w:rPr>
          <w:rFonts w:cs="Arial"/>
          <w:sz w:val="20"/>
        </w:rPr>
        <w:t>futibatinib</w:t>
      </w:r>
      <w:proofErr w:type="spellEnd"/>
      <w:r>
        <w:rPr>
          <w:rFonts w:cs="Arial"/>
          <w:sz w:val="20"/>
        </w:rPr>
        <w:t>)</w:t>
      </w:r>
      <w:r w:rsidRPr="000B7CA5">
        <w:rPr>
          <w:rFonts w:cs="Arial"/>
          <w:sz w:val="20"/>
        </w:rPr>
        <w:t xml:space="preserve"> is</w:t>
      </w:r>
      <w:r>
        <w:rPr>
          <w:rFonts w:cs="Arial"/>
          <w:sz w:val="20"/>
        </w:rPr>
        <w:t xml:space="preserve"> an FGFR inhibitor</w:t>
      </w:r>
      <w:r w:rsidRPr="000B7CA5">
        <w:rPr>
          <w:rFonts w:cs="Arial"/>
          <w:sz w:val="20"/>
        </w:rPr>
        <w:t xml:space="preserve"> indicated for the treatment of adults with previously treated, unresectable, locally advanced, or metastatic intrahepatic CCA harboring FGFR2 gene fusions or other rearrangements. </w:t>
      </w:r>
      <w:proofErr w:type="spellStart"/>
      <w:r w:rsidRPr="00D73C07">
        <w:rPr>
          <w:rFonts w:cs="Arial"/>
          <w:sz w:val="20"/>
        </w:rPr>
        <w:t>Pemazyre</w:t>
      </w:r>
      <w:proofErr w:type="spellEnd"/>
      <w:r w:rsidRPr="00D73C07">
        <w:rPr>
          <w:rFonts w:cs="Arial"/>
          <w:sz w:val="20"/>
        </w:rPr>
        <w:t xml:space="preserve"> </w:t>
      </w:r>
      <w:r>
        <w:rPr>
          <w:rFonts w:cs="Arial"/>
          <w:sz w:val="20"/>
        </w:rPr>
        <w:t>(</w:t>
      </w:r>
      <w:proofErr w:type="spellStart"/>
      <w:r>
        <w:rPr>
          <w:rFonts w:cs="Arial"/>
          <w:sz w:val="20"/>
        </w:rPr>
        <w:t>p</w:t>
      </w:r>
      <w:r w:rsidRPr="000B7CA5">
        <w:rPr>
          <w:rFonts w:cs="Arial"/>
          <w:sz w:val="20"/>
        </w:rPr>
        <w:t>emigatinib</w:t>
      </w:r>
      <w:proofErr w:type="spellEnd"/>
      <w:r>
        <w:rPr>
          <w:rFonts w:cs="Arial"/>
          <w:sz w:val="20"/>
        </w:rPr>
        <w:t>)</w:t>
      </w:r>
      <w:r w:rsidRPr="000B7CA5">
        <w:rPr>
          <w:rFonts w:cs="Arial"/>
          <w:sz w:val="20"/>
        </w:rPr>
        <w:t xml:space="preserve"> is indicated for the treatment of adults with previously treated, unresectable, locally advanced, or metastatic CCA with an FGFR2 fusion or other rearrangement.</w:t>
      </w:r>
      <w:r>
        <w:rPr>
          <w:rFonts w:cs="Arial"/>
          <w:sz w:val="20"/>
        </w:rPr>
        <w:t xml:space="preserve"> In</w:t>
      </w:r>
    </w:p>
    <w:p w14:paraId="0D1BBD50" w14:textId="77777777" w:rsidR="00E5515A" w:rsidRPr="00182FFE" w:rsidRDefault="00E5515A" w:rsidP="00E5515A">
      <w:pPr>
        <w:pStyle w:val="Header"/>
        <w:tabs>
          <w:tab w:val="clear" w:pos="4320"/>
          <w:tab w:val="clear" w:pos="8640"/>
        </w:tabs>
        <w:rPr>
          <w:rFonts w:cs="Arial"/>
          <w:sz w:val="20"/>
        </w:rPr>
      </w:pPr>
      <w:r w:rsidRPr="00D73C07">
        <w:rPr>
          <w:rFonts w:cs="Arial"/>
          <w:sz w:val="20"/>
        </w:rPr>
        <w:t>August 2022</w:t>
      </w:r>
      <w:r>
        <w:rPr>
          <w:rFonts w:cs="Arial"/>
          <w:sz w:val="20"/>
        </w:rPr>
        <w:t>,</w:t>
      </w:r>
      <w:r w:rsidRPr="00D73C07">
        <w:rPr>
          <w:rFonts w:cs="Arial"/>
          <w:sz w:val="20"/>
        </w:rPr>
        <w:t xml:space="preserve"> the FDA </w:t>
      </w:r>
      <w:r>
        <w:rPr>
          <w:rFonts w:cs="Arial"/>
          <w:sz w:val="20"/>
        </w:rPr>
        <w:t xml:space="preserve">also </w:t>
      </w:r>
      <w:r w:rsidRPr="00D73C07">
        <w:rPr>
          <w:rFonts w:cs="Arial"/>
          <w:sz w:val="20"/>
        </w:rPr>
        <w:t xml:space="preserve">approved </w:t>
      </w:r>
      <w:proofErr w:type="spellStart"/>
      <w:r w:rsidRPr="00D73C07">
        <w:rPr>
          <w:rFonts w:cs="Arial"/>
          <w:sz w:val="20"/>
        </w:rPr>
        <w:t>Pemazyre</w:t>
      </w:r>
      <w:proofErr w:type="spellEnd"/>
      <w:r w:rsidRPr="00D73C07">
        <w:rPr>
          <w:rFonts w:cs="Arial"/>
          <w:sz w:val="20"/>
        </w:rPr>
        <w:t xml:space="preserve"> for the treatment of adults with relapsed or refractory myeloid/lymphoid neoplasms (MLNs) and FGFR1 rearrangement. This was approved under Priority Review. MLNs with FGFR1 rearrangement </w:t>
      </w:r>
      <w:proofErr w:type="gramStart"/>
      <w:r w:rsidRPr="00D73C07">
        <w:rPr>
          <w:rFonts w:cs="Arial"/>
          <w:sz w:val="20"/>
        </w:rPr>
        <w:t>is</w:t>
      </w:r>
      <w:proofErr w:type="gramEnd"/>
      <w:r w:rsidRPr="00D73C07">
        <w:rPr>
          <w:rFonts w:cs="Arial"/>
          <w:sz w:val="20"/>
        </w:rPr>
        <w:t xml:space="preserve"> a very rare type of blood cancer affecting less than 1 in 100,000 people in the </w:t>
      </w:r>
      <w:r>
        <w:rPr>
          <w:rFonts w:cs="Arial"/>
          <w:sz w:val="20"/>
        </w:rPr>
        <w:t>United States.</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286D9E25" w14:textId="78C1237D" w:rsidR="00E47A51" w:rsidRPr="008A4E19" w:rsidRDefault="003B1784" w:rsidP="00321387">
      <w:pPr>
        <w:numPr>
          <w:ilvl w:val="0"/>
          <w:numId w:val="15"/>
        </w:numPr>
        <w:rPr>
          <w:rFonts w:cs="Arial"/>
        </w:rPr>
      </w:pPr>
      <w:proofErr w:type="spellStart"/>
      <w:r w:rsidRPr="008A4E19">
        <w:rPr>
          <w:rFonts w:cs="Arial"/>
          <w:iCs/>
        </w:rPr>
        <w:t>Lytgobi</w:t>
      </w:r>
      <w:proofErr w:type="spellEnd"/>
    </w:p>
    <w:p w14:paraId="0299C4EE" w14:textId="77777777" w:rsidR="003B1784" w:rsidRPr="003B1784" w:rsidRDefault="003B1784" w:rsidP="003B1784">
      <w:pPr>
        <w:ind w:left="360"/>
        <w:rPr>
          <w:rFonts w:cs="Arial"/>
          <w:b/>
          <w:bCs/>
        </w:rPr>
      </w:pPr>
    </w:p>
    <w:p w14:paraId="56404718" w14:textId="1EDB8929" w:rsidR="00846FA4" w:rsidRDefault="00846FA4" w:rsidP="00846FA4">
      <w:pPr>
        <w:rPr>
          <w:b/>
          <w:bCs/>
        </w:rPr>
      </w:pPr>
      <w:r>
        <w:rPr>
          <w:b/>
          <w:bCs/>
        </w:rPr>
        <w:t>Non-Preferred Agents:</w:t>
      </w:r>
    </w:p>
    <w:p w14:paraId="291596B1" w14:textId="7E5FD903" w:rsidR="00505886" w:rsidRPr="003363CA" w:rsidRDefault="00735037" w:rsidP="00735037">
      <w:pPr>
        <w:pStyle w:val="ListParagraph"/>
        <w:numPr>
          <w:ilvl w:val="0"/>
          <w:numId w:val="15"/>
        </w:numPr>
        <w:rPr>
          <w:rFonts w:cs="Arial"/>
          <w:spacing w:val="-3"/>
          <w:szCs w:val="20"/>
        </w:rPr>
      </w:pPr>
      <w:proofErr w:type="spellStart"/>
      <w:r w:rsidRPr="00735037">
        <w:rPr>
          <w:rFonts w:cs="Arial"/>
          <w:iCs/>
          <w:spacing w:val="-3"/>
        </w:rPr>
        <w:t>Pemazyre</w:t>
      </w:r>
      <w:proofErr w:type="spellEnd"/>
    </w:p>
    <w:p w14:paraId="75910441" w14:textId="77777777" w:rsidR="003363CA" w:rsidRPr="00036A3F" w:rsidRDefault="003363CA" w:rsidP="008A4E19">
      <w:pPr>
        <w:pStyle w:val="ListParagraph"/>
        <w:numPr>
          <w:ilvl w:val="0"/>
          <w:numId w:val="0"/>
        </w:numPr>
        <w:ind w:left="360"/>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EBCED35" w:rsidR="0097028A" w:rsidRPr="0079438F" w:rsidRDefault="0097028A" w:rsidP="00696E3A">
      <w:pPr>
        <w:rPr>
          <w:b/>
        </w:rPr>
      </w:pPr>
      <w:r w:rsidRPr="00696E3A">
        <w:rPr>
          <w:b/>
          <w:bCs/>
        </w:rPr>
        <w:t>Drug class for review:</w:t>
      </w:r>
      <w:r w:rsidRPr="00C02553">
        <w:t xml:space="preserve"> </w:t>
      </w:r>
      <w:r w:rsidR="00552FE3" w:rsidRPr="005531D1">
        <w:rPr>
          <w:rFonts w:cs="Arial"/>
          <w:szCs w:val="20"/>
        </w:rPr>
        <w:t>Systemic Enzyme Inhibitors, FGFR Inhibitors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72460FF6" w14:textId="77777777" w:rsidR="003363CA" w:rsidRPr="002C2C41" w:rsidRDefault="003363CA"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466AD9AE" w14:textId="77777777" w:rsidR="00F36A4B" w:rsidRPr="003363CA" w:rsidRDefault="00F36A4B" w:rsidP="008A4E19">
      <w:pPr>
        <w:pStyle w:val="ListParagraph"/>
      </w:pPr>
      <w:r w:rsidRPr="003363CA">
        <w:t>Must meet one of the following:</w:t>
      </w:r>
    </w:p>
    <w:p w14:paraId="0C2DC354" w14:textId="77777777" w:rsidR="00F36A4B" w:rsidRPr="003363CA" w:rsidRDefault="00F36A4B" w:rsidP="008A4E19">
      <w:pPr>
        <w:pStyle w:val="ListParagraph"/>
        <w:numPr>
          <w:ilvl w:val="1"/>
          <w:numId w:val="6"/>
        </w:numPr>
      </w:pPr>
      <w:r w:rsidRPr="003363CA">
        <w:t>Claim is for a preferred agent;</w:t>
      </w:r>
    </w:p>
    <w:p w14:paraId="52AB1C32" w14:textId="77777777" w:rsidR="00F36A4B" w:rsidRPr="008A4E19" w:rsidRDefault="00F36A4B" w:rsidP="008A4E19">
      <w:pPr>
        <w:pStyle w:val="ListParagraph"/>
        <w:numPr>
          <w:ilvl w:val="1"/>
          <w:numId w:val="6"/>
        </w:numPr>
        <w:rPr>
          <w:rFonts w:eastAsia="Arial"/>
        </w:rPr>
      </w:pPr>
      <w:r w:rsidRPr="003363CA">
        <w:rPr>
          <w:rFonts w:eastAsia="Arial"/>
        </w:rPr>
        <w:t xml:space="preserve">Documented compliance on current therapy regimen; </w:t>
      </w:r>
    </w:p>
    <w:p w14:paraId="09658A3A" w14:textId="77777777" w:rsidR="00F36A4B" w:rsidRPr="003363CA" w:rsidRDefault="00F36A4B" w:rsidP="008A4E19">
      <w:pPr>
        <w:pStyle w:val="ListParagraph"/>
        <w:numPr>
          <w:ilvl w:val="1"/>
          <w:numId w:val="6"/>
        </w:numPr>
      </w:pPr>
      <w:r w:rsidRPr="003363CA">
        <w:t>Failure to achieve desired therapeutic outcomes with trial on 1 or more preferred agents:</w:t>
      </w:r>
    </w:p>
    <w:p w14:paraId="1774814E" w14:textId="77777777" w:rsidR="00F36A4B" w:rsidRPr="003363CA" w:rsidRDefault="00F36A4B" w:rsidP="008A4E19">
      <w:pPr>
        <w:pStyle w:val="ListParagraph"/>
        <w:numPr>
          <w:ilvl w:val="2"/>
          <w:numId w:val="6"/>
        </w:numPr>
      </w:pPr>
      <w:r w:rsidRPr="003363CA">
        <w:t>Documented trial period for preferred agents;</w:t>
      </w:r>
    </w:p>
    <w:p w14:paraId="6B914395" w14:textId="77777777" w:rsidR="00F36A4B" w:rsidRPr="003363CA" w:rsidRDefault="00F36A4B" w:rsidP="008A4E19">
      <w:pPr>
        <w:pStyle w:val="ListParagraph"/>
        <w:numPr>
          <w:ilvl w:val="2"/>
          <w:numId w:val="6"/>
        </w:numPr>
      </w:pPr>
      <w:r w:rsidRPr="003363CA">
        <w:t xml:space="preserve">Documented ADE/ADR to preferred agents; </w:t>
      </w:r>
      <w:r w:rsidRPr="003363CA">
        <w:rPr>
          <w:b/>
          <w:bCs/>
        </w:rPr>
        <w:t>OR</w:t>
      </w:r>
    </w:p>
    <w:p w14:paraId="3EDA9873" w14:textId="77777777" w:rsidR="00F36A4B" w:rsidRPr="003363CA" w:rsidRDefault="00F36A4B" w:rsidP="008A4E19">
      <w:pPr>
        <w:pStyle w:val="ListParagraph"/>
        <w:numPr>
          <w:ilvl w:val="2"/>
          <w:numId w:val="6"/>
        </w:numPr>
      </w:pPr>
      <w:r w:rsidRPr="003363CA">
        <w:t xml:space="preserve">Documented reason of medical necessity for use of a non-preferred agent without required trial of preferred agents (e.g., contraindication, drug interaction with existing therapy that cannot be modified/ameliorated, preferred agents are not indicated or NCCN/ASCO guideline-recommended); </w:t>
      </w:r>
      <w:r w:rsidRPr="003D31BC">
        <w:rPr>
          <w:b/>
          <w:bCs/>
        </w:rPr>
        <w:t>OR</w:t>
      </w:r>
    </w:p>
    <w:p w14:paraId="63174E37" w14:textId="77777777" w:rsidR="00F36A4B" w:rsidRPr="003363CA" w:rsidRDefault="00F36A4B" w:rsidP="008A4E19">
      <w:pPr>
        <w:pStyle w:val="ListParagraph"/>
        <w:numPr>
          <w:ilvl w:val="1"/>
          <w:numId w:val="6"/>
        </w:numPr>
      </w:pPr>
      <w:r w:rsidRPr="003363CA">
        <w:t xml:space="preserve">Claim is for </w:t>
      </w:r>
      <w:proofErr w:type="spellStart"/>
      <w:r w:rsidRPr="003363CA">
        <w:t>Pemazyre</w:t>
      </w:r>
      <w:proofErr w:type="spellEnd"/>
      <w:r w:rsidRPr="003363CA">
        <w:t xml:space="preserve"> with a documented diagnosis of myeloid/lymphoid neoplasms with FGFR1 rearrangements.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1792A860" w14:textId="77777777" w:rsidR="008B23A0" w:rsidRDefault="008B23A0" w:rsidP="008A4E19">
      <w:pPr>
        <w:pStyle w:val="ListParagraph"/>
      </w:pPr>
      <w:r>
        <w:t xml:space="preserve">Therapy will deny </w:t>
      </w:r>
      <w:proofErr w:type="gramStart"/>
      <w:r>
        <w:t>with</w:t>
      </w:r>
      <w:proofErr w:type="gramEnd"/>
      <w:r>
        <w:t xml:space="preserve"> presence of one of the following:</w:t>
      </w:r>
    </w:p>
    <w:p w14:paraId="705237E6" w14:textId="77777777" w:rsidR="008B23A0" w:rsidRPr="003C0CAA" w:rsidRDefault="008B23A0" w:rsidP="008A4E19">
      <w:pPr>
        <w:pStyle w:val="ListParagraph"/>
        <w:numPr>
          <w:ilvl w:val="1"/>
          <w:numId w:val="6"/>
        </w:numPr>
      </w:pPr>
      <w:r w:rsidRPr="003C0CAA">
        <w:t>Any approval criteria are not met;</w:t>
      </w:r>
      <w:r>
        <w:t xml:space="preserve"> </w:t>
      </w:r>
      <w:r w:rsidRPr="00900C86">
        <w:rPr>
          <w:b/>
        </w:rPr>
        <w:t>OR</w:t>
      </w:r>
    </w:p>
    <w:p w14:paraId="1D376845" w14:textId="77777777" w:rsidR="008B23A0" w:rsidRPr="003C0CAA" w:rsidRDefault="008B23A0" w:rsidP="008A4E19">
      <w:pPr>
        <w:pStyle w:val="ListParagraph"/>
        <w:numPr>
          <w:ilvl w:val="1"/>
          <w:numId w:val="6"/>
        </w:numPr>
      </w:pPr>
      <w:r w:rsidRPr="003C0CAA">
        <w:t>Claim exceeds maximum dosing limitations for the following:</w:t>
      </w: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2245"/>
        <w:gridCol w:w="2160"/>
      </w:tblGrid>
      <w:tr w:rsidR="008B23A0" w:rsidRPr="0058406D" w14:paraId="1661555E" w14:textId="77777777" w:rsidTr="0004607D">
        <w:trPr>
          <w:trHeight w:val="20"/>
          <w:jc w:val="center"/>
        </w:trPr>
        <w:tc>
          <w:tcPr>
            <w:tcW w:w="3960" w:type="dxa"/>
            <w:shd w:val="clear" w:color="auto" w:fill="FABF8F" w:themeFill="accent6" w:themeFillTint="99"/>
            <w:noWrap/>
            <w:vAlign w:val="center"/>
            <w:hideMark/>
          </w:tcPr>
          <w:p w14:paraId="71A7E054" w14:textId="77777777" w:rsidR="008B23A0" w:rsidRPr="0058406D" w:rsidRDefault="008B23A0" w:rsidP="0004607D">
            <w:pPr>
              <w:rPr>
                <w:rFonts w:cs="Arial"/>
                <w:b/>
                <w:szCs w:val="20"/>
              </w:rPr>
            </w:pPr>
            <w:bookmarkStart w:id="1" w:name="_Hlk88172735"/>
            <w:r w:rsidRPr="0058406D">
              <w:rPr>
                <w:rFonts w:cs="Arial"/>
                <w:b/>
                <w:szCs w:val="20"/>
              </w:rPr>
              <w:t>Drug Description</w:t>
            </w:r>
          </w:p>
        </w:tc>
        <w:tc>
          <w:tcPr>
            <w:tcW w:w="2245" w:type="dxa"/>
            <w:shd w:val="clear" w:color="auto" w:fill="FABF8F" w:themeFill="accent6" w:themeFillTint="99"/>
            <w:vAlign w:val="center"/>
          </w:tcPr>
          <w:p w14:paraId="5055D85F" w14:textId="77777777" w:rsidR="008B23A0" w:rsidRPr="0058406D" w:rsidRDefault="008B23A0" w:rsidP="0004607D">
            <w:pPr>
              <w:rPr>
                <w:rFonts w:cs="Arial"/>
                <w:b/>
                <w:szCs w:val="20"/>
              </w:rPr>
            </w:pPr>
            <w:r w:rsidRPr="0058406D">
              <w:rPr>
                <w:rFonts w:cs="Arial"/>
                <w:b/>
                <w:szCs w:val="20"/>
              </w:rPr>
              <w:t>Generic Equivalent</w:t>
            </w:r>
          </w:p>
        </w:tc>
        <w:tc>
          <w:tcPr>
            <w:tcW w:w="2160" w:type="dxa"/>
            <w:shd w:val="clear" w:color="auto" w:fill="FABF8F" w:themeFill="accent6" w:themeFillTint="99"/>
            <w:noWrap/>
            <w:vAlign w:val="center"/>
            <w:hideMark/>
          </w:tcPr>
          <w:p w14:paraId="085A970C" w14:textId="77777777" w:rsidR="008B23A0" w:rsidRPr="0058406D" w:rsidRDefault="008B23A0" w:rsidP="0004607D">
            <w:pPr>
              <w:rPr>
                <w:rFonts w:cs="Arial"/>
                <w:b/>
                <w:szCs w:val="20"/>
              </w:rPr>
            </w:pPr>
            <w:r>
              <w:rPr>
                <w:rFonts w:cs="Arial"/>
                <w:b/>
                <w:szCs w:val="20"/>
              </w:rPr>
              <w:t>Max Units Per Day</w:t>
            </w:r>
          </w:p>
        </w:tc>
      </w:tr>
      <w:tr w:rsidR="008B23A0" w:rsidRPr="0058406D" w14:paraId="033E277A" w14:textId="77777777" w:rsidTr="0004607D">
        <w:trPr>
          <w:trHeight w:val="20"/>
          <w:jc w:val="center"/>
        </w:trPr>
        <w:tc>
          <w:tcPr>
            <w:tcW w:w="3960" w:type="dxa"/>
            <w:tcBorders>
              <w:top w:val="single" w:sz="4" w:space="0" w:color="auto"/>
              <w:left w:val="single" w:sz="4" w:space="0" w:color="auto"/>
              <w:bottom w:val="single" w:sz="4" w:space="0" w:color="auto"/>
              <w:right w:val="single" w:sz="4" w:space="0" w:color="auto"/>
            </w:tcBorders>
            <w:noWrap/>
            <w:vAlign w:val="center"/>
          </w:tcPr>
          <w:p w14:paraId="2F14BEDB" w14:textId="77777777" w:rsidR="008B23A0" w:rsidRPr="007D2B61" w:rsidRDefault="008B23A0" w:rsidP="0004607D">
            <w:pPr>
              <w:rPr>
                <w:rFonts w:cs="Arial"/>
                <w:caps/>
                <w:color w:val="000000" w:themeColor="text1"/>
                <w:szCs w:val="20"/>
              </w:rPr>
            </w:pPr>
            <w:r w:rsidRPr="007D2B61">
              <w:rPr>
                <w:rFonts w:cs="Arial"/>
                <w:color w:val="000000" w:themeColor="text1"/>
                <w:szCs w:val="20"/>
              </w:rPr>
              <w:t>LYTGOBI 12 MG DOSE (3X 4MG TAB)</w:t>
            </w:r>
          </w:p>
        </w:tc>
        <w:tc>
          <w:tcPr>
            <w:tcW w:w="2245" w:type="dxa"/>
            <w:vAlign w:val="bottom"/>
          </w:tcPr>
          <w:p w14:paraId="49EAAAE1" w14:textId="77777777" w:rsidR="008B23A0" w:rsidRPr="007D2B61" w:rsidRDefault="008B23A0" w:rsidP="0004607D">
            <w:pPr>
              <w:rPr>
                <w:rFonts w:cs="Arial"/>
                <w:caps/>
                <w:color w:val="000000" w:themeColor="text1"/>
                <w:szCs w:val="20"/>
              </w:rPr>
            </w:pPr>
            <w:r w:rsidRPr="007D2B61">
              <w:rPr>
                <w:rFonts w:cs="Arial"/>
                <w:caps/>
                <w:color w:val="000000" w:themeColor="text1"/>
                <w:szCs w:val="20"/>
              </w:rPr>
              <w:t>futibatinib</w:t>
            </w:r>
          </w:p>
        </w:tc>
        <w:tc>
          <w:tcPr>
            <w:tcW w:w="2160" w:type="dxa"/>
            <w:noWrap/>
            <w:vAlign w:val="bottom"/>
          </w:tcPr>
          <w:p w14:paraId="4AAA52FA" w14:textId="77777777" w:rsidR="008B23A0" w:rsidRPr="007D2B61" w:rsidRDefault="008B23A0" w:rsidP="0004607D">
            <w:pPr>
              <w:jc w:val="center"/>
              <w:rPr>
                <w:rFonts w:cs="Arial"/>
                <w:color w:val="000000" w:themeColor="text1"/>
                <w:szCs w:val="20"/>
              </w:rPr>
            </w:pPr>
            <w:r w:rsidRPr="007D2B61">
              <w:rPr>
                <w:rFonts w:cs="Arial"/>
                <w:color w:val="000000" w:themeColor="text1"/>
                <w:szCs w:val="20"/>
              </w:rPr>
              <w:t>3</w:t>
            </w:r>
          </w:p>
        </w:tc>
      </w:tr>
      <w:tr w:rsidR="008B23A0" w:rsidRPr="0058406D" w14:paraId="35443814" w14:textId="77777777" w:rsidTr="0004607D">
        <w:trPr>
          <w:trHeight w:val="20"/>
          <w:jc w:val="center"/>
        </w:trPr>
        <w:tc>
          <w:tcPr>
            <w:tcW w:w="3960" w:type="dxa"/>
            <w:tcBorders>
              <w:top w:val="nil"/>
              <w:left w:val="single" w:sz="4" w:space="0" w:color="auto"/>
              <w:bottom w:val="single" w:sz="4" w:space="0" w:color="auto"/>
              <w:right w:val="single" w:sz="4" w:space="0" w:color="auto"/>
            </w:tcBorders>
            <w:noWrap/>
            <w:vAlign w:val="center"/>
          </w:tcPr>
          <w:p w14:paraId="027D20F5" w14:textId="77777777" w:rsidR="008B23A0" w:rsidRPr="007D2B61" w:rsidRDefault="008B23A0" w:rsidP="0004607D">
            <w:pPr>
              <w:rPr>
                <w:rFonts w:cs="Arial"/>
                <w:caps/>
                <w:color w:val="000000" w:themeColor="text1"/>
                <w:szCs w:val="20"/>
              </w:rPr>
            </w:pPr>
            <w:r w:rsidRPr="007D2B61">
              <w:rPr>
                <w:rFonts w:cs="Arial"/>
                <w:color w:val="000000" w:themeColor="text1"/>
                <w:szCs w:val="20"/>
              </w:rPr>
              <w:t>LYTGOBI 16 MG DOSE (4X 4MG TAB)</w:t>
            </w:r>
          </w:p>
        </w:tc>
        <w:tc>
          <w:tcPr>
            <w:tcW w:w="2245" w:type="dxa"/>
            <w:vAlign w:val="bottom"/>
          </w:tcPr>
          <w:p w14:paraId="1565FBE0" w14:textId="77777777" w:rsidR="008B23A0" w:rsidRPr="007D2B61" w:rsidRDefault="008B23A0" w:rsidP="0004607D">
            <w:pPr>
              <w:rPr>
                <w:rFonts w:cs="Arial"/>
                <w:caps/>
                <w:color w:val="000000" w:themeColor="text1"/>
                <w:szCs w:val="20"/>
              </w:rPr>
            </w:pPr>
            <w:r w:rsidRPr="007D2B61">
              <w:rPr>
                <w:rFonts w:cs="Arial"/>
                <w:caps/>
                <w:color w:val="000000" w:themeColor="text1"/>
                <w:szCs w:val="20"/>
              </w:rPr>
              <w:t>futibatinib</w:t>
            </w:r>
          </w:p>
        </w:tc>
        <w:tc>
          <w:tcPr>
            <w:tcW w:w="2160" w:type="dxa"/>
            <w:noWrap/>
            <w:vAlign w:val="bottom"/>
          </w:tcPr>
          <w:p w14:paraId="047C7294" w14:textId="77777777" w:rsidR="008B23A0" w:rsidRPr="007D2B61" w:rsidRDefault="008B23A0" w:rsidP="0004607D">
            <w:pPr>
              <w:jc w:val="center"/>
              <w:rPr>
                <w:rFonts w:cs="Arial"/>
                <w:color w:val="000000" w:themeColor="text1"/>
                <w:szCs w:val="20"/>
              </w:rPr>
            </w:pPr>
            <w:r w:rsidRPr="007D2B61">
              <w:rPr>
                <w:rFonts w:cs="Arial"/>
                <w:color w:val="000000" w:themeColor="text1"/>
                <w:szCs w:val="20"/>
              </w:rPr>
              <w:t>4</w:t>
            </w:r>
          </w:p>
        </w:tc>
      </w:tr>
      <w:tr w:rsidR="008B23A0" w:rsidRPr="0058406D" w14:paraId="735AEB38" w14:textId="77777777" w:rsidTr="0004607D">
        <w:trPr>
          <w:trHeight w:val="20"/>
          <w:jc w:val="center"/>
        </w:trPr>
        <w:tc>
          <w:tcPr>
            <w:tcW w:w="3960" w:type="dxa"/>
            <w:tcBorders>
              <w:top w:val="nil"/>
              <w:left w:val="single" w:sz="4" w:space="0" w:color="auto"/>
              <w:bottom w:val="single" w:sz="4" w:space="0" w:color="auto"/>
              <w:right w:val="single" w:sz="4" w:space="0" w:color="auto"/>
            </w:tcBorders>
            <w:noWrap/>
            <w:vAlign w:val="center"/>
          </w:tcPr>
          <w:p w14:paraId="15283446" w14:textId="77777777" w:rsidR="008B23A0" w:rsidRPr="007D2B61" w:rsidRDefault="008B23A0" w:rsidP="0004607D">
            <w:pPr>
              <w:rPr>
                <w:rFonts w:cs="Arial"/>
                <w:caps/>
                <w:color w:val="000000" w:themeColor="text1"/>
                <w:szCs w:val="20"/>
              </w:rPr>
            </w:pPr>
            <w:r w:rsidRPr="007D2B61">
              <w:rPr>
                <w:rFonts w:cs="Arial"/>
                <w:color w:val="000000" w:themeColor="text1"/>
                <w:szCs w:val="20"/>
              </w:rPr>
              <w:t>LYTGOBI 20 MG DOSE (5X 4MG TAB)</w:t>
            </w:r>
          </w:p>
        </w:tc>
        <w:tc>
          <w:tcPr>
            <w:tcW w:w="2245" w:type="dxa"/>
            <w:vAlign w:val="bottom"/>
          </w:tcPr>
          <w:p w14:paraId="426A1CFF" w14:textId="77777777" w:rsidR="008B23A0" w:rsidRPr="007D2B61" w:rsidRDefault="008B23A0" w:rsidP="0004607D">
            <w:pPr>
              <w:rPr>
                <w:rFonts w:cs="Arial"/>
                <w:caps/>
                <w:color w:val="000000" w:themeColor="text1"/>
                <w:szCs w:val="20"/>
              </w:rPr>
            </w:pPr>
            <w:r w:rsidRPr="007D2B61">
              <w:rPr>
                <w:rFonts w:cs="Arial"/>
                <w:caps/>
                <w:color w:val="000000" w:themeColor="text1"/>
                <w:szCs w:val="20"/>
              </w:rPr>
              <w:t>futibatinib</w:t>
            </w:r>
          </w:p>
        </w:tc>
        <w:tc>
          <w:tcPr>
            <w:tcW w:w="2160" w:type="dxa"/>
            <w:noWrap/>
            <w:vAlign w:val="bottom"/>
          </w:tcPr>
          <w:p w14:paraId="7BE74BFC" w14:textId="77777777" w:rsidR="008B23A0" w:rsidRPr="007D2B61" w:rsidRDefault="008B23A0" w:rsidP="0004607D">
            <w:pPr>
              <w:jc w:val="center"/>
              <w:rPr>
                <w:rFonts w:cs="Arial"/>
                <w:color w:val="000000" w:themeColor="text1"/>
                <w:szCs w:val="20"/>
              </w:rPr>
            </w:pPr>
            <w:r w:rsidRPr="007D2B61">
              <w:rPr>
                <w:rFonts w:cs="Arial"/>
                <w:color w:val="000000" w:themeColor="text1"/>
                <w:szCs w:val="20"/>
              </w:rPr>
              <w:t xml:space="preserve">5 </w:t>
            </w:r>
          </w:p>
        </w:tc>
      </w:tr>
      <w:tr w:rsidR="008B23A0" w:rsidRPr="0058406D" w14:paraId="740774AD" w14:textId="77777777" w:rsidTr="0004607D">
        <w:trPr>
          <w:trHeight w:val="20"/>
          <w:jc w:val="center"/>
        </w:trPr>
        <w:tc>
          <w:tcPr>
            <w:tcW w:w="3960" w:type="dxa"/>
            <w:noWrap/>
            <w:vAlign w:val="bottom"/>
          </w:tcPr>
          <w:p w14:paraId="01FEBA1C" w14:textId="77777777" w:rsidR="008B23A0" w:rsidRPr="008F5BCE" w:rsidRDefault="008B23A0" w:rsidP="0004607D">
            <w:pPr>
              <w:rPr>
                <w:rFonts w:cs="Arial"/>
                <w:b/>
                <w:bCs/>
                <w:caps/>
                <w:color w:val="0070C0"/>
                <w:szCs w:val="20"/>
              </w:rPr>
            </w:pPr>
            <w:r>
              <w:rPr>
                <w:rFonts w:cs="Arial"/>
                <w:caps/>
                <w:szCs w:val="20"/>
              </w:rPr>
              <w:t>Pemazyre 4.5 mg tablet</w:t>
            </w:r>
          </w:p>
        </w:tc>
        <w:tc>
          <w:tcPr>
            <w:tcW w:w="2245" w:type="dxa"/>
            <w:vAlign w:val="bottom"/>
          </w:tcPr>
          <w:p w14:paraId="243673E7" w14:textId="77777777" w:rsidR="008B23A0" w:rsidRPr="008F5BCE" w:rsidRDefault="008B23A0" w:rsidP="0004607D">
            <w:pPr>
              <w:rPr>
                <w:rFonts w:cs="Arial"/>
                <w:b/>
                <w:bCs/>
                <w:caps/>
                <w:color w:val="0070C0"/>
                <w:szCs w:val="20"/>
              </w:rPr>
            </w:pPr>
            <w:r>
              <w:rPr>
                <w:rFonts w:cs="Arial"/>
                <w:caps/>
                <w:szCs w:val="20"/>
              </w:rPr>
              <w:t>pemigatinib</w:t>
            </w:r>
          </w:p>
        </w:tc>
        <w:tc>
          <w:tcPr>
            <w:tcW w:w="2160" w:type="dxa"/>
            <w:noWrap/>
            <w:vAlign w:val="bottom"/>
          </w:tcPr>
          <w:p w14:paraId="58093372" w14:textId="77777777" w:rsidR="008B23A0" w:rsidRPr="008F5BCE" w:rsidRDefault="008B23A0" w:rsidP="0004607D">
            <w:pPr>
              <w:jc w:val="center"/>
              <w:rPr>
                <w:rFonts w:cs="Arial"/>
                <w:b/>
                <w:bCs/>
                <w:color w:val="0070C0"/>
                <w:szCs w:val="20"/>
              </w:rPr>
            </w:pPr>
            <w:r>
              <w:rPr>
                <w:rFonts w:cs="Arial"/>
                <w:szCs w:val="20"/>
              </w:rPr>
              <w:t xml:space="preserve">1 </w:t>
            </w:r>
          </w:p>
        </w:tc>
      </w:tr>
      <w:tr w:rsidR="008B23A0" w:rsidRPr="0058406D" w14:paraId="3EB4BFE8" w14:textId="77777777" w:rsidTr="0004607D">
        <w:trPr>
          <w:trHeight w:val="20"/>
          <w:jc w:val="center"/>
        </w:trPr>
        <w:tc>
          <w:tcPr>
            <w:tcW w:w="3960" w:type="dxa"/>
            <w:noWrap/>
            <w:vAlign w:val="bottom"/>
          </w:tcPr>
          <w:p w14:paraId="5D141000" w14:textId="77777777" w:rsidR="008B23A0" w:rsidRPr="008F5BCE" w:rsidRDefault="008B23A0" w:rsidP="0004607D">
            <w:pPr>
              <w:rPr>
                <w:rFonts w:cs="Arial"/>
                <w:b/>
                <w:bCs/>
                <w:caps/>
                <w:color w:val="0070C0"/>
                <w:szCs w:val="20"/>
              </w:rPr>
            </w:pPr>
            <w:r>
              <w:rPr>
                <w:rFonts w:cs="Arial"/>
                <w:caps/>
                <w:szCs w:val="20"/>
              </w:rPr>
              <w:t>Pemazyre 9 mg tablet</w:t>
            </w:r>
          </w:p>
        </w:tc>
        <w:tc>
          <w:tcPr>
            <w:tcW w:w="2245" w:type="dxa"/>
            <w:vAlign w:val="bottom"/>
          </w:tcPr>
          <w:p w14:paraId="65B6B347" w14:textId="77777777" w:rsidR="008B23A0" w:rsidRPr="008F5BCE" w:rsidRDefault="008B23A0" w:rsidP="0004607D">
            <w:pPr>
              <w:rPr>
                <w:rFonts w:cs="Arial"/>
                <w:b/>
                <w:bCs/>
                <w:caps/>
                <w:color w:val="0070C0"/>
                <w:szCs w:val="20"/>
              </w:rPr>
            </w:pPr>
            <w:r>
              <w:rPr>
                <w:rFonts w:cs="Arial"/>
                <w:caps/>
                <w:szCs w:val="20"/>
              </w:rPr>
              <w:t>pemigatinib</w:t>
            </w:r>
          </w:p>
        </w:tc>
        <w:tc>
          <w:tcPr>
            <w:tcW w:w="2160" w:type="dxa"/>
            <w:noWrap/>
            <w:vAlign w:val="bottom"/>
          </w:tcPr>
          <w:p w14:paraId="2D089E7C" w14:textId="77777777" w:rsidR="008B23A0" w:rsidRPr="008F5BCE" w:rsidRDefault="008B23A0" w:rsidP="0004607D">
            <w:pPr>
              <w:jc w:val="center"/>
              <w:rPr>
                <w:rFonts w:cs="Arial"/>
                <w:b/>
                <w:bCs/>
                <w:color w:val="0070C0"/>
                <w:szCs w:val="20"/>
              </w:rPr>
            </w:pPr>
            <w:r>
              <w:rPr>
                <w:rFonts w:cs="Arial"/>
                <w:szCs w:val="20"/>
              </w:rPr>
              <w:t xml:space="preserve">1 </w:t>
            </w:r>
          </w:p>
        </w:tc>
      </w:tr>
      <w:tr w:rsidR="008B23A0" w:rsidRPr="0058406D" w14:paraId="2991E1B4" w14:textId="77777777" w:rsidTr="0004607D">
        <w:trPr>
          <w:trHeight w:val="20"/>
          <w:jc w:val="center"/>
        </w:trPr>
        <w:tc>
          <w:tcPr>
            <w:tcW w:w="3960" w:type="dxa"/>
            <w:noWrap/>
            <w:vAlign w:val="bottom"/>
          </w:tcPr>
          <w:p w14:paraId="3732FE59" w14:textId="77777777" w:rsidR="008B23A0" w:rsidRPr="0009364E" w:rsidRDefault="008B23A0" w:rsidP="0004607D">
            <w:pPr>
              <w:rPr>
                <w:rFonts w:cs="Arial"/>
                <w:caps/>
                <w:szCs w:val="20"/>
              </w:rPr>
            </w:pPr>
            <w:r>
              <w:rPr>
                <w:rFonts w:cs="Arial"/>
                <w:caps/>
                <w:szCs w:val="20"/>
              </w:rPr>
              <w:t>Pemazyre 13.5 mg tablet</w:t>
            </w:r>
          </w:p>
        </w:tc>
        <w:tc>
          <w:tcPr>
            <w:tcW w:w="2245" w:type="dxa"/>
            <w:vAlign w:val="bottom"/>
          </w:tcPr>
          <w:p w14:paraId="3A5478B8" w14:textId="77777777" w:rsidR="008B23A0" w:rsidRPr="0009364E" w:rsidRDefault="008B23A0" w:rsidP="0004607D">
            <w:pPr>
              <w:rPr>
                <w:rFonts w:cs="Arial"/>
                <w:caps/>
                <w:szCs w:val="20"/>
              </w:rPr>
            </w:pPr>
            <w:r>
              <w:rPr>
                <w:rFonts w:cs="Arial"/>
                <w:caps/>
                <w:szCs w:val="20"/>
              </w:rPr>
              <w:t>pemigatinib</w:t>
            </w:r>
          </w:p>
        </w:tc>
        <w:tc>
          <w:tcPr>
            <w:tcW w:w="2160" w:type="dxa"/>
            <w:noWrap/>
            <w:vAlign w:val="bottom"/>
          </w:tcPr>
          <w:p w14:paraId="55A80342" w14:textId="77777777" w:rsidR="008B23A0" w:rsidRPr="0009364E" w:rsidRDefault="008B23A0" w:rsidP="0004607D">
            <w:pPr>
              <w:jc w:val="center"/>
              <w:rPr>
                <w:rFonts w:cs="Arial"/>
                <w:szCs w:val="20"/>
              </w:rPr>
            </w:pPr>
            <w:r>
              <w:rPr>
                <w:rFonts w:cs="Arial"/>
                <w:szCs w:val="20"/>
              </w:rPr>
              <w:t xml:space="preserve">1 </w:t>
            </w:r>
          </w:p>
        </w:tc>
      </w:tr>
      <w:bookmarkEnd w:id="1"/>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16F7B7ED" w:rsidR="00343D6B" w:rsidRPr="00C02553" w:rsidRDefault="00343D6B" w:rsidP="00696E3A">
      <w:r w:rsidRPr="00696E3A">
        <w:rPr>
          <w:b/>
          <w:bCs/>
        </w:rPr>
        <w:t>Default Approval Period:</w:t>
      </w:r>
      <w:r w:rsidR="00973BD6">
        <w:t xml:space="preserve"> </w:t>
      </w:r>
      <w:r w:rsidR="00EE5BAF">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2AACEFFF" w14:textId="77777777" w:rsidR="00C12FA6" w:rsidRDefault="00C12FA6" w:rsidP="00C12FA6">
      <w:pPr>
        <w:pStyle w:val="ListParagraph"/>
        <w:numPr>
          <w:ilvl w:val="0"/>
          <w:numId w:val="29"/>
        </w:numPr>
        <w:rPr>
          <w:rFonts w:cs="Arial"/>
          <w:szCs w:val="20"/>
        </w:rPr>
      </w:pPr>
      <w:r w:rsidRPr="003618C0">
        <w:rPr>
          <w:rFonts w:cs="Arial"/>
          <w:szCs w:val="20"/>
        </w:rPr>
        <w:t>Evidence-Based Medicine and Fiscal Analysis: “Therapeutic Class Review: Systemic Enzyme Inhibitors, FGFR Inhibitors”, Gainwell Technologies; Last updated July 31, 2024.</w:t>
      </w:r>
    </w:p>
    <w:p w14:paraId="477FD278" w14:textId="79C28B7A" w:rsidR="00C12FA6" w:rsidRPr="008A7A09" w:rsidRDefault="00C12FA6" w:rsidP="00C12FA6">
      <w:pPr>
        <w:pStyle w:val="ListParagraph"/>
        <w:numPr>
          <w:ilvl w:val="0"/>
          <w:numId w:val="29"/>
        </w:numPr>
        <w:rPr>
          <w:rFonts w:cs="Arial"/>
          <w:szCs w:val="20"/>
        </w:rPr>
      </w:pPr>
      <w:r w:rsidRPr="008A7A09">
        <w:rPr>
          <w:rFonts w:cs="Arial"/>
          <w:szCs w:val="20"/>
        </w:rPr>
        <w:t xml:space="preserve">Evidence-Based Medicine Analysis: “Systemic Enzyme Inhibitors, FGFR Inhibitors”, UMKC-DIC; </w:t>
      </w:r>
      <w:r w:rsidR="00995ED9">
        <w:rPr>
          <w:rFonts w:cs="Arial"/>
          <w:szCs w:val="20"/>
        </w:rPr>
        <w:t>August</w:t>
      </w:r>
      <w:r w:rsidRPr="008A7A09">
        <w:rPr>
          <w:rFonts w:cs="Arial"/>
          <w:szCs w:val="20"/>
        </w:rPr>
        <w:t xml:space="preserve"> 202</w:t>
      </w:r>
      <w:r w:rsidR="00995ED9">
        <w:rPr>
          <w:rFonts w:cs="Arial"/>
          <w:szCs w:val="20"/>
        </w:rPr>
        <w:t>6</w:t>
      </w:r>
      <w:r w:rsidRPr="008A7A09">
        <w:rPr>
          <w:rFonts w:cs="Arial"/>
          <w:szCs w:val="20"/>
        </w:rPr>
        <w:t>.</w:t>
      </w:r>
    </w:p>
    <w:p w14:paraId="0DBA0E5A" w14:textId="77777777" w:rsidR="00C12FA6" w:rsidRPr="00774564" w:rsidRDefault="00C12FA6" w:rsidP="00C12FA6">
      <w:pPr>
        <w:numPr>
          <w:ilvl w:val="0"/>
          <w:numId w:val="29"/>
        </w:numPr>
        <w:rPr>
          <w:rFonts w:cs="Arial"/>
          <w:szCs w:val="20"/>
        </w:rPr>
      </w:pPr>
      <w:r w:rsidRPr="00774564">
        <w:rPr>
          <w:rFonts w:cs="Arial"/>
          <w:szCs w:val="20"/>
        </w:rPr>
        <w:t xml:space="preserve">IPD Analytics Payer and Provider Update: FDA Expands Indication for Incyte’s </w:t>
      </w:r>
      <w:proofErr w:type="spellStart"/>
      <w:r w:rsidRPr="00774564">
        <w:rPr>
          <w:rFonts w:cs="Arial"/>
          <w:szCs w:val="20"/>
        </w:rPr>
        <w:t>Pemazyre</w:t>
      </w:r>
      <w:proofErr w:type="spellEnd"/>
      <w:r w:rsidRPr="00774564">
        <w:rPr>
          <w:rFonts w:cs="Arial"/>
          <w:szCs w:val="20"/>
        </w:rPr>
        <w:t xml:space="preserve"> to Include Treatment of Myeloid/Lymphoid Neoplasms </w:t>
      </w:r>
      <w:proofErr w:type="gramStart"/>
      <w:r w:rsidRPr="00774564">
        <w:rPr>
          <w:rFonts w:cs="Arial"/>
          <w:szCs w:val="20"/>
        </w:rPr>
        <w:t>With</w:t>
      </w:r>
      <w:proofErr w:type="gramEnd"/>
      <w:r w:rsidRPr="00774564">
        <w:rPr>
          <w:rFonts w:cs="Arial"/>
          <w:szCs w:val="20"/>
        </w:rPr>
        <w:t xml:space="preserve"> FGFR1 Rearrangement. IPD Analytics. 2022.</w:t>
      </w:r>
    </w:p>
    <w:p w14:paraId="35C5547C" w14:textId="77777777" w:rsidR="00C12FA6" w:rsidRDefault="00C12FA6" w:rsidP="00C12FA6">
      <w:pPr>
        <w:numPr>
          <w:ilvl w:val="0"/>
          <w:numId w:val="29"/>
        </w:numPr>
        <w:rPr>
          <w:rFonts w:cs="Arial"/>
          <w:szCs w:val="20"/>
        </w:rPr>
      </w:pPr>
      <w:r w:rsidRPr="0015281D">
        <w:rPr>
          <w:rFonts w:cs="Arial"/>
          <w:szCs w:val="20"/>
        </w:rPr>
        <w:t xml:space="preserve">Weaver A, </w:t>
      </w:r>
      <w:proofErr w:type="spellStart"/>
      <w:r w:rsidRPr="0015281D">
        <w:rPr>
          <w:rFonts w:cs="Arial"/>
          <w:szCs w:val="20"/>
        </w:rPr>
        <w:t>Bossaer</w:t>
      </w:r>
      <w:proofErr w:type="spellEnd"/>
      <w:r w:rsidRPr="0015281D">
        <w:rPr>
          <w:rFonts w:cs="Arial"/>
          <w:szCs w:val="20"/>
        </w:rPr>
        <w:t xml:space="preserve"> JB. Fibroblast growth factor receptor (FGFR) inhibitors: A review of a novel therapeutic class. J Oncol Pharm </w:t>
      </w:r>
      <w:proofErr w:type="spellStart"/>
      <w:r w:rsidRPr="0015281D">
        <w:rPr>
          <w:rFonts w:cs="Arial"/>
          <w:szCs w:val="20"/>
        </w:rPr>
        <w:t>Pract</w:t>
      </w:r>
      <w:proofErr w:type="spellEnd"/>
      <w:r w:rsidRPr="0015281D">
        <w:rPr>
          <w:rFonts w:cs="Arial"/>
          <w:szCs w:val="20"/>
        </w:rPr>
        <w:t xml:space="preserve">. 2021 Apr;27(3):702-710. </w:t>
      </w:r>
      <w:proofErr w:type="spellStart"/>
      <w:r w:rsidRPr="0015281D">
        <w:rPr>
          <w:rFonts w:cs="Arial"/>
          <w:szCs w:val="20"/>
        </w:rPr>
        <w:t>doi</w:t>
      </w:r>
      <w:proofErr w:type="spellEnd"/>
      <w:r w:rsidRPr="0015281D">
        <w:rPr>
          <w:rFonts w:cs="Arial"/>
          <w:szCs w:val="20"/>
        </w:rPr>
        <w:t xml:space="preserve">: 10.1177/1078155220983425. </w:t>
      </w:r>
      <w:proofErr w:type="spellStart"/>
      <w:r w:rsidRPr="0015281D">
        <w:rPr>
          <w:rFonts w:cs="Arial"/>
          <w:szCs w:val="20"/>
        </w:rPr>
        <w:t>Epub</w:t>
      </w:r>
      <w:proofErr w:type="spellEnd"/>
      <w:r w:rsidRPr="0015281D">
        <w:rPr>
          <w:rFonts w:cs="Arial"/>
          <w:szCs w:val="20"/>
        </w:rPr>
        <w:t xml:space="preserve"> 2020 Dec 29. PMID: 33375902.</w:t>
      </w:r>
    </w:p>
    <w:p w14:paraId="6E46DEF4" w14:textId="704B24BB" w:rsidR="00C12FA6" w:rsidRPr="00314F5A" w:rsidRDefault="00C12FA6" w:rsidP="00C12FA6">
      <w:pPr>
        <w:numPr>
          <w:ilvl w:val="0"/>
          <w:numId w:val="29"/>
        </w:numPr>
        <w:rPr>
          <w:rFonts w:cs="Arial"/>
          <w:szCs w:val="20"/>
        </w:rPr>
      </w:pPr>
      <w:r w:rsidRPr="00314F5A">
        <w:rPr>
          <w:rFonts w:cs="Arial"/>
          <w:szCs w:val="20"/>
        </w:rPr>
        <w:t>USPDI, Micromedex; 202</w:t>
      </w:r>
      <w:r w:rsidR="009404C0">
        <w:rPr>
          <w:rFonts w:cs="Arial"/>
          <w:szCs w:val="20"/>
        </w:rPr>
        <w:t>6</w:t>
      </w:r>
      <w:r>
        <w:rPr>
          <w:rFonts w:cs="Arial"/>
          <w:szCs w:val="20"/>
        </w:rPr>
        <w:t>.</w:t>
      </w:r>
    </w:p>
    <w:p w14:paraId="2FE4228A" w14:textId="161D4C29" w:rsidR="00C12FA6" w:rsidRPr="003B7E59" w:rsidRDefault="00C12FA6" w:rsidP="00C12FA6">
      <w:pPr>
        <w:numPr>
          <w:ilvl w:val="0"/>
          <w:numId w:val="29"/>
        </w:numPr>
        <w:rPr>
          <w:rFonts w:cs="Arial"/>
          <w:szCs w:val="20"/>
        </w:rPr>
      </w:pPr>
      <w:r w:rsidRPr="00314F5A">
        <w:rPr>
          <w:rFonts w:cs="Arial"/>
          <w:szCs w:val="20"/>
        </w:rPr>
        <w:t xml:space="preserve">Facts and Comparisons </w:t>
      </w:r>
      <w:proofErr w:type="spellStart"/>
      <w:r w:rsidRPr="00314F5A">
        <w:rPr>
          <w:rFonts w:cs="Arial"/>
          <w:szCs w:val="20"/>
        </w:rPr>
        <w:t>eAnswers</w:t>
      </w:r>
      <w:proofErr w:type="spellEnd"/>
      <w:r w:rsidRPr="00314F5A">
        <w:rPr>
          <w:rFonts w:cs="Arial"/>
          <w:szCs w:val="20"/>
        </w:rPr>
        <w:t xml:space="preserve"> (online); 202</w:t>
      </w:r>
      <w:r w:rsidR="009404C0">
        <w:rPr>
          <w:rFonts w:cs="Arial"/>
          <w:szCs w:val="20"/>
        </w:rPr>
        <w:t>6</w:t>
      </w:r>
      <w:r w:rsidRPr="00314F5A">
        <w:rPr>
          <w:rFonts w:cs="Arial"/>
          <w:szCs w:val="20"/>
        </w:rPr>
        <w:t xml:space="preserve"> Clinical Drug Information, LLC</w:t>
      </w:r>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A14DB" w14:textId="77777777" w:rsidR="001D5F3C" w:rsidRPr="00C02553" w:rsidRDefault="001D5F3C" w:rsidP="00AE77DB">
      <w:r w:rsidRPr="00C02553">
        <w:separator/>
      </w:r>
    </w:p>
  </w:endnote>
  <w:endnote w:type="continuationSeparator" w:id="0">
    <w:p w14:paraId="163A9EFC" w14:textId="77777777" w:rsidR="001D5F3C" w:rsidRPr="00C02553" w:rsidRDefault="001D5F3C" w:rsidP="00AE77DB">
      <w:r w:rsidRPr="00C02553">
        <w:continuationSeparator/>
      </w:r>
    </w:p>
  </w:endnote>
  <w:endnote w:type="continuationNotice" w:id="1">
    <w:p w14:paraId="1AFD66B7" w14:textId="77777777" w:rsidR="001D5F3C" w:rsidRPr="00C02553" w:rsidRDefault="001D5F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D264F" w14:textId="77777777" w:rsidR="001D5F3C" w:rsidRPr="00C02553" w:rsidRDefault="001D5F3C" w:rsidP="00AE77DB">
      <w:r w:rsidRPr="00C02553">
        <w:separator/>
      </w:r>
    </w:p>
  </w:footnote>
  <w:footnote w:type="continuationSeparator" w:id="0">
    <w:p w14:paraId="3EF5EAA6" w14:textId="77777777" w:rsidR="001D5F3C" w:rsidRPr="00C02553" w:rsidRDefault="001D5F3C" w:rsidP="00AE77DB">
      <w:r w:rsidRPr="00C02553">
        <w:continuationSeparator/>
      </w:r>
    </w:p>
  </w:footnote>
  <w:footnote w:type="continuationNotice" w:id="1">
    <w:p w14:paraId="20F24EE1" w14:textId="77777777" w:rsidR="001D5F3C" w:rsidRPr="00C02553" w:rsidRDefault="001D5F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0915103" w:rsidR="00006A61" w:rsidRPr="00C02553" w:rsidRDefault="000768C8">
    <w:pPr>
      <w:pStyle w:val="Header"/>
      <w:framePr w:wrap="around" w:vAnchor="text" w:hAnchor="margin" w:xAlign="right" w:y="1"/>
      <w:rPr>
        <w:rStyle w:val="PageNumber"/>
        <w:rFonts w:ascii="Times New Roman" w:hAnsi="Times New Roman"/>
      </w:rPr>
    </w:pPr>
    <w:r>
      <w:rPr>
        <w:noProof/>
      </w:rPr>
      <w:pict w14:anchorId="5F7181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284001"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C1E48C7" w:rsidR="00596936" w:rsidRDefault="000768C8">
    <w:pPr>
      <w:pStyle w:val="Header"/>
    </w:pPr>
    <w:r>
      <w:rPr>
        <w:noProof/>
      </w:rPr>
      <w:pict w14:anchorId="61956A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284002"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9F52E6B" w:rsidR="00006A61" w:rsidRPr="00C02553" w:rsidRDefault="000768C8">
    <w:pPr>
      <w:pStyle w:val="Header"/>
      <w:rPr>
        <w:rFonts w:ascii="Times New Roman" w:hAnsi="Times New Roman"/>
      </w:rPr>
    </w:pPr>
    <w:r>
      <w:rPr>
        <w:noProof/>
      </w:rPr>
      <w:pict w14:anchorId="3E4FE4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284000"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2F960B2"/>
    <w:multiLevelType w:val="hybridMultilevel"/>
    <w:tmpl w:val="0FA0A904"/>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57081"/>
    <w:multiLevelType w:val="hybridMultilevel"/>
    <w:tmpl w:val="EC3E94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AB811C8"/>
    <w:multiLevelType w:val="hybridMultilevel"/>
    <w:tmpl w:val="9C4CBE4A"/>
    <w:lvl w:ilvl="0" w:tplc="04090001">
      <w:start w:val="1"/>
      <w:numFmt w:val="bullet"/>
      <w:lvlText w:val=""/>
      <w:lvlJc w:val="left"/>
      <w:pPr>
        <w:tabs>
          <w:tab w:val="num" w:pos="360"/>
        </w:tabs>
        <w:ind w:left="360" w:hanging="360"/>
      </w:pPr>
      <w:rPr>
        <w:rFonts w:ascii="Symbol" w:hAnsi="Symbol" w:hint="default"/>
        <w:sz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60D92ED4"/>
    <w:multiLevelType w:val="hybridMultilevel"/>
    <w:tmpl w:val="2BDE5F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F9B4273"/>
    <w:multiLevelType w:val="hybridMultilevel"/>
    <w:tmpl w:val="20A4A1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D84564"/>
    <w:multiLevelType w:val="hybridMultilevel"/>
    <w:tmpl w:val="2EE0A138"/>
    <w:lvl w:ilvl="0" w:tplc="C79C402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ind w:left="720" w:hanging="360"/>
      </w:pPr>
      <w:rPr>
        <w:rFonts w:ascii="Courier New" w:hAnsi="Courier New" w:cs="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25"/>
  </w:num>
  <w:num w:numId="3" w16cid:durableId="1729067566">
    <w:abstractNumId w:val="4"/>
  </w:num>
  <w:num w:numId="4" w16cid:durableId="320159068">
    <w:abstractNumId w:val="11"/>
  </w:num>
  <w:num w:numId="5" w16cid:durableId="1769498754">
    <w:abstractNumId w:val="3"/>
  </w:num>
  <w:num w:numId="6" w16cid:durableId="1094596320">
    <w:abstractNumId w:val="20"/>
  </w:num>
  <w:num w:numId="7" w16cid:durableId="2110008555">
    <w:abstractNumId w:val="2"/>
  </w:num>
  <w:num w:numId="8" w16cid:durableId="489712751">
    <w:abstractNumId w:val="9"/>
  </w:num>
  <w:num w:numId="9" w16cid:durableId="1085147965">
    <w:abstractNumId w:val="15"/>
  </w:num>
  <w:num w:numId="10" w16cid:durableId="917518096">
    <w:abstractNumId w:val="12"/>
  </w:num>
  <w:num w:numId="11" w16cid:durableId="1894998475">
    <w:abstractNumId w:val="1"/>
  </w:num>
  <w:num w:numId="12" w16cid:durableId="1418215296">
    <w:abstractNumId w:val="22"/>
  </w:num>
  <w:num w:numId="13" w16cid:durableId="604729665">
    <w:abstractNumId w:val="8"/>
  </w:num>
  <w:num w:numId="14" w16cid:durableId="1805081292">
    <w:abstractNumId w:val="16"/>
  </w:num>
  <w:num w:numId="15" w16cid:durableId="723600171">
    <w:abstractNumId w:val="13"/>
  </w:num>
  <w:num w:numId="16" w16cid:durableId="1801653055">
    <w:abstractNumId w:val="5"/>
  </w:num>
  <w:num w:numId="17" w16cid:durableId="2063867432">
    <w:abstractNumId w:val="23"/>
  </w:num>
  <w:num w:numId="18" w16cid:durableId="198008564">
    <w:abstractNumId w:val="19"/>
  </w:num>
  <w:num w:numId="19" w16cid:durableId="31423068">
    <w:abstractNumId w:val="24"/>
  </w:num>
  <w:num w:numId="20" w16cid:durableId="2111313785">
    <w:abstractNumId w:val="14"/>
  </w:num>
  <w:num w:numId="21" w16cid:durableId="1834494073">
    <w:abstractNumId w:val="17"/>
  </w:num>
  <w:num w:numId="22" w16cid:durableId="1593589468">
    <w:abstractNumId w:val="7"/>
  </w:num>
  <w:num w:numId="23" w16cid:durableId="1710179139">
    <w:abstractNumId w:val="6"/>
  </w:num>
  <w:num w:numId="24" w16cid:durableId="1528449512">
    <w:abstractNumId w:val="27"/>
  </w:num>
  <w:num w:numId="25" w16cid:durableId="1760710007">
    <w:abstractNumId w:val="26"/>
  </w:num>
  <w:num w:numId="26" w16cid:durableId="645670399">
    <w:abstractNumId w:val="21"/>
  </w:num>
  <w:num w:numId="27" w16cid:durableId="389304945">
    <w:abstractNumId w:val="10"/>
  </w:num>
  <w:num w:numId="28" w16cid:durableId="740368592">
    <w:abstractNumId w:val="28"/>
  </w:num>
  <w:num w:numId="29" w16cid:durableId="342517908">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GWvFmcFoZ644yGQ3MU8QJvpM/JNjlfxes4Dps+vePoKTZoGeKcUY0hsynJYqQqJxdJsM7OY+qb7p01t/yNTrg==" w:salt="tKLKYR5gfxyIIyvyf9eWJ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0D51"/>
    <w:rsid w:val="000276D9"/>
    <w:rsid w:val="00036A3F"/>
    <w:rsid w:val="00040AD3"/>
    <w:rsid w:val="000537F9"/>
    <w:rsid w:val="00053807"/>
    <w:rsid w:val="000572E5"/>
    <w:rsid w:val="00061541"/>
    <w:rsid w:val="00064162"/>
    <w:rsid w:val="00065A29"/>
    <w:rsid w:val="00065C22"/>
    <w:rsid w:val="00074464"/>
    <w:rsid w:val="00076030"/>
    <w:rsid w:val="000768C8"/>
    <w:rsid w:val="00082590"/>
    <w:rsid w:val="000913C3"/>
    <w:rsid w:val="000949D7"/>
    <w:rsid w:val="000953B9"/>
    <w:rsid w:val="000977BD"/>
    <w:rsid w:val="000A413B"/>
    <w:rsid w:val="000A6279"/>
    <w:rsid w:val="000B496B"/>
    <w:rsid w:val="000C3940"/>
    <w:rsid w:val="000C5992"/>
    <w:rsid w:val="000D6430"/>
    <w:rsid w:val="000E1479"/>
    <w:rsid w:val="000E231E"/>
    <w:rsid w:val="000E247D"/>
    <w:rsid w:val="000E6B14"/>
    <w:rsid w:val="000E70D8"/>
    <w:rsid w:val="000F5A99"/>
    <w:rsid w:val="001062F6"/>
    <w:rsid w:val="00110496"/>
    <w:rsid w:val="00112FC7"/>
    <w:rsid w:val="00125F5F"/>
    <w:rsid w:val="00126951"/>
    <w:rsid w:val="00126B60"/>
    <w:rsid w:val="00127EF6"/>
    <w:rsid w:val="001306CE"/>
    <w:rsid w:val="001310AD"/>
    <w:rsid w:val="001314A5"/>
    <w:rsid w:val="00132C7F"/>
    <w:rsid w:val="00144DBE"/>
    <w:rsid w:val="00152C8B"/>
    <w:rsid w:val="001550E4"/>
    <w:rsid w:val="0015636A"/>
    <w:rsid w:val="00172053"/>
    <w:rsid w:val="00177A80"/>
    <w:rsid w:val="001A50CB"/>
    <w:rsid w:val="001A74B7"/>
    <w:rsid w:val="001B2D47"/>
    <w:rsid w:val="001C0250"/>
    <w:rsid w:val="001C6DA4"/>
    <w:rsid w:val="001C73B1"/>
    <w:rsid w:val="001D1E7D"/>
    <w:rsid w:val="001D5F3C"/>
    <w:rsid w:val="001D6567"/>
    <w:rsid w:val="001E2CCB"/>
    <w:rsid w:val="001E4CBA"/>
    <w:rsid w:val="001E523C"/>
    <w:rsid w:val="001E61DF"/>
    <w:rsid w:val="001F2366"/>
    <w:rsid w:val="001F2B9F"/>
    <w:rsid w:val="001F5954"/>
    <w:rsid w:val="00202DD3"/>
    <w:rsid w:val="00206E7D"/>
    <w:rsid w:val="00216248"/>
    <w:rsid w:val="00217E14"/>
    <w:rsid w:val="00217EFD"/>
    <w:rsid w:val="00222134"/>
    <w:rsid w:val="0022233F"/>
    <w:rsid w:val="00226275"/>
    <w:rsid w:val="0023045D"/>
    <w:rsid w:val="00246564"/>
    <w:rsid w:val="00246A3B"/>
    <w:rsid w:val="00255404"/>
    <w:rsid w:val="0025594F"/>
    <w:rsid w:val="00270C5E"/>
    <w:rsid w:val="00290A03"/>
    <w:rsid w:val="0029159A"/>
    <w:rsid w:val="00291600"/>
    <w:rsid w:val="002A02F4"/>
    <w:rsid w:val="002C2C41"/>
    <w:rsid w:val="002C3E19"/>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0A60"/>
    <w:rsid w:val="003355AC"/>
    <w:rsid w:val="003363CA"/>
    <w:rsid w:val="00343D6B"/>
    <w:rsid w:val="00347FB5"/>
    <w:rsid w:val="00355515"/>
    <w:rsid w:val="003608B5"/>
    <w:rsid w:val="003613AF"/>
    <w:rsid w:val="00382949"/>
    <w:rsid w:val="00386A82"/>
    <w:rsid w:val="003878C1"/>
    <w:rsid w:val="00394017"/>
    <w:rsid w:val="00396C0B"/>
    <w:rsid w:val="003A630F"/>
    <w:rsid w:val="003B1784"/>
    <w:rsid w:val="003B3958"/>
    <w:rsid w:val="003B4820"/>
    <w:rsid w:val="003B5F4B"/>
    <w:rsid w:val="003B682F"/>
    <w:rsid w:val="003C53FC"/>
    <w:rsid w:val="003C7013"/>
    <w:rsid w:val="003D31BC"/>
    <w:rsid w:val="003D641B"/>
    <w:rsid w:val="003F227C"/>
    <w:rsid w:val="003F6981"/>
    <w:rsid w:val="004023CC"/>
    <w:rsid w:val="00407564"/>
    <w:rsid w:val="00411152"/>
    <w:rsid w:val="004156AA"/>
    <w:rsid w:val="004253A1"/>
    <w:rsid w:val="004313B6"/>
    <w:rsid w:val="00433339"/>
    <w:rsid w:val="00446BBC"/>
    <w:rsid w:val="004472C0"/>
    <w:rsid w:val="00450705"/>
    <w:rsid w:val="00451928"/>
    <w:rsid w:val="00454D4C"/>
    <w:rsid w:val="0046618B"/>
    <w:rsid w:val="00472D34"/>
    <w:rsid w:val="0048608C"/>
    <w:rsid w:val="00491296"/>
    <w:rsid w:val="00496E57"/>
    <w:rsid w:val="004B3E10"/>
    <w:rsid w:val="004C0F5D"/>
    <w:rsid w:val="004C375A"/>
    <w:rsid w:val="004C4954"/>
    <w:rsid w:val="004C5767"/>
    <w:rsid w:val="004D5322"/>
    <w:rsid w:val="004D78B0"/>
    <w:rsid w:val="004E611F"/>
    <w:rsid w:val="004F2A79"/>
    <w:rsid w:val="004F4D37"/>
    <w:rsid w:val="00501A14"/>
    <w:rsid w:val="00501DE3"/>
    <w:rsid w:val="00505886"/>
    <w:rsid w:val="005058CB"/>
    <w:rsid w:val="0051044D"/>
    <w:rsid w:val="005139E4"/>
    <w:rsid w:val="00515075"/>
    <w:rsid w:val="00520FE9"/>
    <w:rsid w:val="005233E7"/>
    <w:rsid w:val="005328B2"/>
    <w:rsid w:val="00535BD5"/>
    <w:rsid w:val="00540977"/>
    <w:rsid w:val="00551668"/>
    <w:rsid w:val="00552FE3"/>
    <w:rsid w:val="005572D5"/>
    <w:rsid w:val="00566BE4"/>
    <w:rsid w:val="00570D21"/>
    <w:rsid w:val="00576113"/>
    <w:rsid w:val="00576447"/>
    <w:rsid w:val="00590652"/>
    <w:rsid w:val="0059235F"/>
    <w:rsid w:val="00596936"/>
    <w:rsid w:val="005A0064"/>
    <w:rsid w:val="005A2F1E"/>
    <w:rsid w:val="005A4232"/>
    <w:rsid w:val="005B1E34"/>
    <w:rsid w:val="005C3616"/>
    <w:rsid w:val="005C42B4"/>
    <w:rsid w:val="005D36B2"/>
    <w:rsid w:val="005D52E7"/>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77C65"/>
    <w:rsid w:val="00693152"/>
    <w:rsid w:val="00694FAE"/>
    <w:rsid w:val="00696E3A"/>
    <w:rsid w:val="006A0834"/>
    <w:rsid w:val="006A4BBD"/>
    <w:rsid w:val="006A52F1"/>
    <w:rsid w:val="006B2702"/>
    <w:rsid w:val="006B561D"/>
    <w:rsid w:val="006B6D5D"/>
    <w:rsid w:val="006D2330"/>
    <w:rsid w:val="006E0F8B"/>
    <w:rsid w:val="006E12F7"/>
    <w:rsid w:val="006E7FBE"/>
    <w:rsid w:val="006F700D"/>
    <w:rsid w:val="007068A4"/>
    <w:rsid w:val="00706D67"/>
    <w:rsid w:val="00713052"/>
    <w:rsid w:val="00721367"/>
    <w:rsid w:val="007231FA"/>
    <w:rsid w:val="00732C67"/>
    <w:rsid w:val="00734418"/>
    <w:rsid w:val="00735037"/>
    <w:rsid w:val="00741A96"/>
    <w:rsid w:val="00752861"/>
    <w:rsid w:val="00757826"/>
    <w:rsid w:val="007632B7"/>
    <w:rsid w:val="0076382F"/>
    <w:rsid w:val="00765768"/>
    <w:rsid w:val="00765D10"/>
    <w:rsid w:val="00766AC8"/>
    <w:rsid w:val="00767486"/>
    <w:rsid w:val="0077070E"/>
    <w:rsid w:val="00771E46"/>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6F5"/>
    <w:rsid w:val="007E6A37"/>
    <w:rsid w:val="007F1774"/>
    <w:rsid w:val="00811A70"/>
    <w:rsid w:val="0081406E"/>
    <w:rsid w:val="00832211"/>
    <w:rsid w:val="008325F4"/>
    <w:rsid w:val="00832AC8"/>
    <w:rsid w:val="00846FA4"/>
    <w:rsid w:val="00851C0D"/>
    <w:rsid w:val="008524BA"/>
    <w:rsid w:val="00852B74"/>
    <w:rsid w:val="00856928"/>
    <w:rsid w:val="00865538"/>
    <w:rsid w:val="00870875"/>
    <w:rsid w:val="008759C3"/>
    <w:rsid w:val="0088225C"/>
    <w:rsid w:val="00884026"/>
    <w:rsid w:val="00884C78"/>
    <w:rsid w:val="008859E1"/>
    <w:rsid w:val="00896264"/>
    <w:rsid w:val="008A4E19"/>
    <w:rsid w:val="008A5D88"/>
    <w:rsid w:val="008B23A0"/>
    <w:rsid w:val="008B2851"/>
    <w:rsid w:val="008C000E"/>
    <w:rsid w:val="008C3CC3"/>
    <w:rsid w:val="008C3F5B"/>
    <w:rsid w:val="008D0F2F"/>
    <w:rsid w:val="008D237F"/>
    <w:rsid w:val="008D6B05"/>
    <w:rsid w:val="008D7383"/>
    <w:rsid w:val="008D7E39"/>
    <w:rsid w:val="008E5C3C"/>
    <w:rsid w:val="008E7D2D"/>
    <w:rsid w:val="008F44C0"/>
    <w:rsid w:val="008F5999"/>
    <w:rsid w:val="0090017D"/>
    <w:rsid w:val="00903AD6"/>
    <w:rsid w:val="00904D7A"/>
    <w:rsid w:val="00915332"/>
    <w:rsid w:val="009204BB"/>
    <w:rsid w:val="00935918"/>
    <w:rsid w:val="00935EC3"/>
    <w:rsid w:val="009404C0"/>
    <w:rsid w:val="00951097"/>
    <w:rsid w:val="00953C1E"/>
    <w:rsid w:val="0096210F"/>
    <w:rsid w:val="00962633"/>
    <w:rsid w:val="00963187"/>
    <w:rsid w:val="00963ACF"/>
    <w:rsid w:val="00963D1C"/>
    <w:rsid w:val="00964284"/>
    <w:rsid w:val="0097028A"/>
    <w:rsid w:val="00973BD6"/>
    <w:rsid w:val="00984549"/>
    <w:rsid w:val="00985D28"/>
    <w:rsid w:val="00991BF0"/>
    <w:rsid w:val="00995ED9"/>
    <w:rsid w:val="009A0FB1"/>
    <w:rsid w:val="009A1FAC"/>
    <w:rsid w:val="009B001A"/>
    <w:rsid w:val="009B1A62"/>
    <w:rsid w:val="009C3CC7"/>
    <w:rsid w:val="009C754E"/>
    <w:rsid w:val="009D2057"/>
    <w:rsid w:val="009D3D6C"/>
    <w:rsid w:val="009D5551"/>
    <w:rsid w:val="009D62DB"/>
    <w:rsid w:val="009E3B42"/>
    <w:rsid w:val="009F21BB"/>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74A4E"/>
    <w:rsid w:val="00A9528A"/>
    <w:rsid w:val="00AA70AB"/>
    <w:rsid w:val="00AB0B9F"/>
    <w:rsid w:val="00AB1713"/>
    <w:rsid w:val="00AB63BE"/>
    <w:rsid w:val="00AB70F6"/>
    <w:rsid w:val="00AC1EBC"/>
    <w:rsid w:val="00AC2599"/>
    <w:rsid w:val="00AC2DE9"/>
    <w:rsid w:val="00AC72D5"/>
    <w:rsid w:val="00AD2C5F"/>
    <w:rsid w:val="00AD4DFB"/>
    <w:rsid w:val="00AE1481"/>
    <w:rsid w:val="00AE27F9"/>
    <w:rsid w:val="00AE77DB"/>
    <w:rsid w:val="00AF7453"/>
    <w:rsid w:val="00B00FFF"/>
    <w:rsid w:val="00B06084"/>
    <w:rsid w:val="00B063FF"/>
    <w:rsid w:val="00B16735"/>
    <w:rsid w:val="00B17EDE"/>
    <w:rsid w:val="00B22585"/>
    <w:rsid w:val="00B33693"/>
    <w:rsid w:val="00B34C53"/>
    <w:rsid w:val="00B50732"/>
    <w:rsid w:val="00B507A5"/>
    <w:rsid w:val="00B52475"/>
    <w:rsid w:val="00B535DA"/>
    <w:rsid w:val="00B56DCC"/>
    <w:rsid w:val="00B56F54"/>
    <w:rsid w:val="00B638C2"/>
    <w:rsid w:val="00B758AB"/>
    <w:rsid w:val="00B76277"/>
    <w:rsid w:val="00B772AB"/>
    <w:rsid w:val="00B77928"/>
    <w:rsid w:val="00B80395"/>
    <w:rsid w:val="00B80B56"/>
    <w:rsid w:val="00B814FD"/>
    <w:rsid w:val="00B86372"/>
    <w:rsid w:val="00BA1C17"/>
    <w:rsid w:val="00BA1D65"/>
    <w:rsid w:val="00BB0ECB"/>
    <w:rsid w:val="00BB3B4D"/>
    <w:rsid w:val="00BC351E"/>
    <w:rsid w:val="00BC3F77"/>
    <w:rsid w:val="00BC5635"/>
    <w:rsid w:val="00BC5675"/>
    <w:rsid w:val="00BD081C"/>
    <w:rsid w:val="00BD277B"/>
    <w:rsid w:val="00BD47CA"/>
    <w:rsid w:val="00BD62C7"/>
    <w:rsid w:val="00BE020D"/>
    <w:rsid w:val="00BE10E6"/>
    <w:rsid w:val="00BE354A"/>
    <w:rsid w:val="00BF5EEF"/>
    <w:rsid w:val="00C02553"/>
    <w:rsid w:val="00C04EB6"/>
    <w:rsid w:val="00C056F9"/>
    <w:rsid w:val="00C1018C"/>
    <w:rsid w:val="00C1150E"/>
    <w:rsid w:val="00C12AF8"/>
    <w:rsid w:val="00C12FA6"/>
    <w:rsid w:val="00C14D52"/>
    <w:rsid w:val="00C2586C"/>
    <w:rsid w:val="00C26001"/>
    <w:rsid w:val="00C34E72"/>
    <w:rsid w:val="00C56B1F"/>
    <w:rsid w:val="00C61B52"/>
    <w:rsid w:val="00C62745"/>
    <w:rsid w:val="00C654CA"/>
    <w:rsid w:val="00C763BD"/>
    <w:rsid w:val="00C779A8"/>
    <w:rsid w:val="00C82B85"/>
    <w:rsid w:val="00C82E19"/>
    <w:rsid w:val="00C9465A"/>
    <w:rsid w:val="00C96873"/>
    <w:rsid w:val="00CA1735"/>
    <w:rsid w:val="00CA3C4B"/>
    <w:rsid w:val="00CA7252"/>
    <w:rsid w:val="00CB2C5A"/>
    <w:rsid w:val="00CB6EAB"/>
    <w:rsid w:val="00CC0B8C"/>
    <w:rsid w:val="00CE0C1C"/>
    <w:rsid w:val="00CE34AF"/>
    <w:rsid w:val="00CF00A4"/>
    <w:rsid w:val="00CF25FB"/>
    <w:rsid w:val="00CF614C"/>
    <w:rsid w:val="00D02F34"/>
    <w:rsid w:val="00D043E4"/>
    <w:rsid w:val="00D13D87"/>
    <w:rsid w:val="00D16590"/>
    <w:rsid w:val="00D16994"/>
    <w:rsid w:val="00D20720"/>
    <w:rsid w:val="00D250D9"/>
    <w:rsid w:val="00D27533"/>
    <w:rsid w:val="00D329D5"/>
    <w:rsid w:val="00D42DA3"/>
    <w:rsid w:val="00D4546D"/>
    <w:rsid w:val="00D4641A"/>
    <w:rsid w:val="00D47996"/>
    <w:rsid w:val="00D61118"/>
    <w:rsid w:val="00D614F1"/>
    <w:rsid w:val="00D70D50"/>
    <w:rsid w:val="00D71917"/>
    <w:rsid w:val="00D97395"/>
    <w:rsid w:val="00DA0517"/>
    <w:rsid w:val="00DA3A0F"/>
    <w:rsid w:val="00DA4E62"/>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354AA"/>
    <w:rsid w:val="00E43D54"/>
    <w:rsid w:val="00E442FB"/>
    <w:rsid w:val="00E47A51"/>
    <w:rsid w:val="00E529DB"/>
    <w:rsid w:val="00E53A5E"/>
    <w:rsid w:val="00E5515A"/>
    <w:rsid w:val="00E57D52"/>
    <w:rsid w:val="00E6466A"/>
    <w:rsid w:val="00E67B01"/>
    <w:rsid w:val="00E72221"/>
    <w:rsid w:val="00E74E36"/>
    <w:rsid w:val="00E8053A"/>
    <w:rsid w:val="00E83428"/>
    <w:rsid w:val="00E84C58"/>
    <w:rsid w:val="00E873A5"/>
    <w:rsid w:val="00E90D11"/>
    <w:rsid w:val="00E915E5"/>
    <w:rsid w:val="00EB0367"/>
    <w:rsid w:val="00EB4FB9"/>
    <w:rsid w:val="00EB5BC8"/>
    <w:rsid w:val="00EC2738"/>
    <w:rsid w:val="00EC2A5D"/>
    <w:rsid w:val="00EC7F6E"/>
    <w:rsid w:val="00ED7B42"/>
    <w:rsid w:val="00EE3EA5"/>
    <w:rsid w:val="00EE5BAF"/>
    <w:rsid w:val="00EE613F"/>
    <w:rsid w:val="00EE6BD1"/>
    <w:rsid w:val="00EF0262"/>
    <w:rsid w:val="00EF0828"/>
    <w:rsid w:val="00EF6F8B"/>
    <w:rsid w:val="00F03898"/>
    <w:rsid w:val="00F1527A"/>
    <w:rsid w:val="00F2696B"/>
    <w:rsid w:val="00F27821"/>
    <w:rsid w:val="00F36A4B"/>
    <w:rsid w:val="00F4092A"/>
    <w:rsid w:val="00F41F69"/>
    <w:rsid w:val="00F43E41"/>
    <w:rsid w:val="00F4479D"/>
    <w:rsid w:val="00F4790C"/>
    <w:rsid w:val="00F50C4B"/>
    <w:rsid w:val="00F54C08"/>
    <w:rsid w:val="00F553A2"/>
    <w:rsid w:val="00F6068C"/>
    <w:rsid w:val="00F62F33"/>
    <w:rsid w:val="00F63A52"/>
    <w:rsid w:val="00F730BA"/>
    <w:rsid w:val="00F76E92"/>
    <w:rsid w:val="00F76FC2"/>
    <w:rsid w:val="00F903BE"/>
    <w:rsid w:val="00F95D04"/>
    <w:rsid w:val="00FA16EC"/>
    <w:rsid w:val="00FA2811"/>
    <w:rsid w:val="00FA4837"/>
    <w:rsid w:val="00FB1D33"/>
    <w:rsid w:val="00FB5E96"/>
    <w:rsid w:val="00FC05A0"/>
    <w:rsid w:val="00FC6758"/>
    <w:rsid w:val="00FD34EA"/>
    <w:rsid w:val="00FE3F3E"/>
    <w:rsid w:val="00FE4D52"/>
    <w:rsid w:val="00FE5AEE"/>
    <w:rsid w:val="00FF106B"/>
    <w:rsid w:val="00FF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5A0064"/>
    <w:rPr>
      <w:rFonts w:ascii="Arial" w:hAnsi="Arial"/>
      <w:szCs w:val="24"/>
    </w:rPr>
  </w:style>
  <w:style w:type="character" w:styleId="CommentReference">
    <w:name w:val="annotation reference"/>
    <w:basedOn w:val="DefaultParagraphFont"/>
    <w:uiPriority w:val="99"/>
    <w:semiHidden/>
    <w:unhideWhenUsed/>
    <w:rsid w:val="009404C0"/>
    <w:rPr>
      <w:sz w:val="16"/>
      <w:szCs w:val="16"/>
    </w:rPr>
  </w:style>
  <w:style w:type="paragraph" w:styleId="CommentSubject">
    <w:name w:val="annotation subject"/>
    <w:basedOn w:val="CommentText"/>
    <w:next w:val="CommentText"/>
    <w:link w:val="CommentSubjectChar"/>
    <w:uiPriority w:val="99"/>
    <w:semiHidden/>
    <w:unhideWhenUsed/>
    <w:rsid w:val="009404C0"/>
    <w:rPr>
      <w:b/>
      <w:bCs/>
    </w:rPr>
  </w:style>
  <w:style w:type="character" w:customStyle="1" w:styleId="CommentTextChar">
    <w:name w:val="Comment Text Char"/>
    <w:basedOn w:val="DefaultParagraphFont"/>
    <w:link w:val="CommentText"/>
    <w:semiHidden/>
    <w:rsid w:val="009404C0"/>
    <w:rPr>
      <w:rFonts w:ascii="Arial" w:hAnsi="Arial"/>
    </w:rPr>
  </w:style>
  <w:style w:type="character" w:customStyle="1" w:styleId="CommentSubjectChar">
    <w:name w:val="Comment Subject Char"/>
    <w:basedOn w:val="CommentTextChar"/>
    <w:link w:val="CommentSubject"/>
    <w:uiPriority w:val="99"/>
    <w:semiHidden/>
    <w:rsid w:val="009404C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5DA9F9-5C52-49FF-9A8C-97FEBBD24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documentManagement/types"/>
    <ds:schemaRef ds:uri="http://schemas.microsoft.com/sharepoint/v3"/>
    <ds:schemaRef ds:uri="http://purl.org/dc/dcmitype/"/>
    <ds:schemaRef ds:uri="http://www.w3.org/XML/1998/namespace"/>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32</TotalTime>
  <Pages>2</Pages>
  <Words>665</Words>
  <Characters>3791</Characters>
  <Application>Microsoft Office Word</Application>
  <DocSecurity>10</DocSecurity>
  <Lines>31</Lines>
  <Paragraphs>8</Paragraphs>
  <ScaleCrop>false</ScaleCrop>
  <HeadingPairs>
    <vt:vector size="2" baseType="variant">
      <vt:variant>
        <vt:lpstr>Title</vt:lpstr>
      </vt:variant>
      <vt:variant>
        <vt:i4>1</vt:i4>
      </vt:variant>
    </vt:vector>
  </HeadingPairs>
  <TitlesOfParts>
    <vt:vector size="1" baseType="lpstr">
      <vt:lpstr>Systemic Enzyme Inhibitors, FGFR Inhibitors PDL Edit</vt:lpstr>
    </vt:vector>
  </TitlesOfParts>
  <Company>DSS</Company>
  <LinksUpToDate>false</LinksUpToDate>
  <CharactersWithSpaces>4448</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Enzyme Inhibitors, FGFR Inhibitors PDL Edit</dc:title>
  <dc:creator>DMS</dc:creator>
  <cp:lastModifiedBy>Herzing, Jamie</cp:lastModifiedBy>
  <cp:revision>23</cp:revision>
  <cp:lastPrinted>2018-10-31T20:17:00Z</cp:lastPrinted>
  <dcterms:created xsi:type="dcterms:W3CDTF">2025-11-06T17:05:00Z</dcterms:created>
  <dcterms:modified xsi:type="dcterms:W3CDTF">2026-10-09T20:33:00Z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a49f61205601bdec368be47c1f098ba962f252677c4c8824d846b9ec4600f57c</vt:lpwstr>
  </property>
</Properties>
</file>