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4B7C8CB8"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7071B14C" w:rsidR="004C5767" w:rsidRPr="008859E1" w:rsidRDefault="004C5767" w:rsidP="00D27533">
      <w:pPr>
        <w:pStyle w:val="tbody"/>
        <w:rPr>
          <w:b w:val="0"/>
          <w:bCs/>
        </w:rPr>
      </w:pPr>
      <w:r w:rsidRPr="00C02553">
        <w:t>Drug/Drug Class:</w:t>
      </w:r>
      <w:r w:rsidR="003B4820">
        <w:t xml:space="preserve"> </w:t>
      </w:r>
      <w:r w:rsidR="009A3F84" w:rsidRPr="009A3F84">
        <w:rPr>
          <w:b w:val="0"/>
          <w:bCs/>
        </w:rPr>
        <w:t>Transthyretin Amyloidosis Agents PDL Edit</w:t>
      </w:r>
    </w:p>
    <w:p w14:paraId="7AD7FFCE" w14:textId="6A1345EA" w:rsidR="004C5767" w:rsidRPr="00C02553" w:rsidRDefault="004C5767" w:rsidP="00D27533">
      <w:pPr>
        <w:pStyle w:val="tbody"/>
      </w:pPr>
      <w:r w:rsidRPr="00C02553">
        <w:t xml:space="preserve">First Implementation Date: </w:t>
      </w:r>
      <w:r w:rsidR="00BC4589" w:rsidRPr="00BC4589">
        <w:rPr>
          <w:b w:val="0"/>
          <w:bCs/>
        </w:rPr>
        <w:t>January 9, 2025</w:t>
      </w:r>
    </w:p>
    <w:p w14:paraId="4B7D760D" w14:textId="4944BB05" w:rsidR="004C5767" w:rsidRPr="00D27533" w:rsidRDefault="004E5F37" w:rsidP="00D27533">
      <w:pPr>
        <w:pStyle w:val="tbody"/>
        <w:rPr>
          <w:b w:val="0"/>
          <w:bCs/>
        </w:rPr>
      </w:pPr>
      <w:r>
        <w:t>Propo</w:t>
      </w:r>
      <w:r w:rsidR="004C5767" w:rsidRPr="00C02553">
        <w:t>sed Date:</w:t>
      </w:r>
      <w:r w:rsidR="00065C22">
        <w:t xml:space="preserve"> </w:t>
      </w:r>
      <w:r>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153CFB0" w:rsidR="004C5767" w:rsidRPr="00D27533" w:rsidRDefault="004C5767" w:rsidP="00D27533">
      <w:pPr>
        <w:pStyle w:val="tbody"/>
        <w:rPr>
          <w:b w:val="0"/>
          <w:bCs/>
          <w:spacing w:val="-3"/>
        </w:rPr>
      </w:pPr>
      <w:r w:rsidRPr="00C02553">
        <w:t xml:space="preserve">Criteria Status: </w:t>
      </w:r>
      <w:r w:rsidR="00C94229" w:rsidRPr="00C94229">
        <w:rPr>
          <w:b w:val="0"/>
          <w:bCs/>
        </w:rPr>
        <w:t>Revision of</w:t>
      </w:r>
      <w:r w:rsidR="00C94229">
        <w:t xml:space="preserve"> </w:t>
      </w:r>
      <w:r w:rsidR="00566BE4">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4FBC1B5" w14:textId="77777777" w:rsidR="00B54935" w:rsidRPr="00F737FD" w:rsidRDefault="00B54935" w:rsidP="00B54935">
      <w:pPr>
        <w:pStyle w:val="Header"/>
        <w:tabs>
          <w:tab w:val="clear" w:pos="4320"/>
          <w:tab w:val="clear" w:pos="8640"/>
        </w:tabs>
        <w:rPr>
          <w:rFonts w:cs="Arial"/>
          <w:sz w:val="20"/>
        </w:rPr>
      </w:pPr>
      <w:r w:rsidRPr="00F737FD">
        <w:rPr>
          <w:rFonts w:cs="Arial"/>
          <w:sz w:val="20"/>
        </w:rPr>
        <w:t xml:space="preserve">Transthyretin-mediated amyloidosis (ATTR) is a form of systemic amyloidosis caused by amyloid deposits made up of a protein called transthyretin (TTR).  ATTR can be either hereditary or acquired (non-hereditary).  TTR is always present in the blood, where it transports thyroid hormone </w:t>
      </w:r>
      <w:r w:rsidRPr="00F737FD">
        <w:rPr>
          <w:rFonts w:cs="Arial"/>
          <w:bCs/>
          <w:sz w:val="20"/>
        </w:rPr>
        <w:t>(thyroxine)</w:t>
      </w:r>
      <w:r w:rsidRPr="00F737FD">
        <w:rPr>
          <w:rFonts w:cs="Arial"/>
          <w:sz w:val="20"/>
        </w:rPr>
        <w:t xml:space="preserve"> and vitamin A (retinol), hence the name: “trans-thy-retin”.  When the abnormal proteins are produced and the fibers attach and deposit in organs and other places in the body, normal function of that part of the body is affected. The hereditary form of ATTR is caused by a pathogenic variant in the </w:t>
      </w:r>
      <w:r w:rsidRPr="00B02068">
        <w:rPr>
          <w:rFonts w:cs="Arial"/>
          <w:i/>
          <w:iCs/>
          <w:sz w:val="20"/>
        </w:rPr>
        <w:t>TTR</w:t>
      </w:r>
      <w:r w:rsidRPr="00F737FD">
        <w:rPr>
          <w:rFonts w:cs="Arial"/>
          <w:sz w:val="20"/>
        </w:rPr>
        <w:t xml:space="preserve"> gene that causes misfolding of the tetramer subunits, while the wild-type form is associated with misfolding of destabilized native protein (particularly in the elderly) and causes non-familial cases.</w:t>
      </w:r>
      <w:r>
        <w:rPr>
          <w:rFonts w:cs="Arial"/>
          <w:sz w:val="20"/>
        </w:rPr>
        <w:t xml:space="preserve">  </w:t>
      </w:r>
    </w:p>
    <w:p w14:paraId="4942E909" w14:textId="77777777" w:rsidR="00B54935" w:rsidRPr="00F737FD" w:rsidRDefault="00B54935" w:rsidP="00B54935">
      <w:pPr>
        <w:pStyle w:val="Header"/>
        <w:tabs>
          <w:tab w:val="clear" w:pos="4320"/>
          <w:tab w:val="clear" w:pos="8640"/>
        </w:tabs>
        <w:rPr>
          <w:rFonts w:cs="Arial"/>
          <w:sz w:val="20"/>
        </w:rPr>
      </w:pPr>
    </w:p>
    <w:p w14:paraId="26F2E586" w14:textId="4100AC42" w:rsidR="00B54935" w:rsidRPr="00F737FD" w:rsidRDefault="00B54935" w:rsidP="00B54935">
      <w:pPr>
        <w:pStyle w:val="Header"/>
        <w:tabs>
          <w:tab w:val="clear" w:pos="4320"/>
          <w:tab w:val="clear" w:pos="8640"/>
        </w:tabs>
        <w:rPr>
          <w:rFonts w:cs="Arial"/>
          <w:sz w:val="20"/>
        </w:rPr>
      </w:pPr>
      <w:r w:rsidRPr="00F737FD">
        <w:rPr>
          <w:rFonts w:cs="Arial"/>
          <w:sz w:val="20"/>
        </w:rPr>
        <w:t>Onpattro (patisiran)</w:t>
      </w:r>
      <w:r>
        <w:rPr>
          <w:rFonts w:cs="Arial"/>
          <w:sz w:val="20"/>
        </w:rPr>
        <w:t>, Amvuttra (vutrisiran), and Wainua</w:t>
      </w:r>
      <w:r w:rsidRPr="00F737FD">
        <w:rPr>
          <w:rFonts w:cs="Arial"/>
          <w:sz w:val="20"/>
        </w:rPr>
        <w:t xml:space="preserve"> </w:t>
      </w:r>
      <w:r>
        <w:rPr>
          <w:rFonts w:cs="Arial"/>
          <w:sz w:val="20"/>
        </w:rPr>
        <w:t>(</w:t>
      </w:r>
      <w:r w:rsidRPr="00F352BA">
        <w:rPr>
          <w:rFonts w:cs="Arial"/>
          <w:sz w:val="20"/>
        </w:rPr>
        <w:t>eplontersen</w:t>
      </w:r>
      <w:r>
        <w:rPr>
          <w:rFonts w:cs="Arial"/>
          <w:sz w:val="20"/>
        </w:rPr>
        <w:t xml:space="preserve">) </w:t>
      </w:r>
      <w:r w:rsidRPr="00F737FD">
        <w:rPr>
          <w:rFonts w:cs="Arial"/>
          <w:sz w:val="20"/>
        </w:rPr>
        <w:t>are indicated for the treatment of the polyneuropathy caused by hereditary transthyretin-mediated amyloidosis (hATTR-PN) in adults. These agents work by targeting RNA to reduce the production of the TTR protein thus reducing the accumulation of amyloid deposits in the peripheral nerves, improving symptoms, and helping patients better manage the condition.  hATTR-PN affects approximately 3,</w:t>
      </w:r>
      <w:r>
        <w:rPr>
          <w:rFonts w:cs="Arial"/>
          <w:sz w:val="20"/>
        </w:rPr>
        <w:t>0</w:t>
      </w:r>
      <w:r w:rsidRPr="00F737FD">
        <w:rPr>
          <w:rFonts w:cs="Arial"/>
          <w:sz w:val="20"/>
        </w:rPr>
        <w:t>00 people in the United States.</w:t>
      </w:r>
    </w:p>
    <w:p w14:paraId="4F5C04B2" w14:textId="77777777" w:rsidR="00B54935" w:rsidRPr="00F737FD" w:rsidRDefault="00B54935" w:rsidP="00B54935">
      <w:pPr>
        <w:pStyle w:val="Header"/>
        <w:tabs>
          <w:tab w:val="clear" w:pos="4320"/>
          <w:tab w:val="clear" w:pos="8640"/>
        </w:tabs>
        <w:rPr>
          <w:rFonts w:cs="Arial"/>
          <w:sz w:val="20"/>
        </w:rPr>
      </w:pPr>
    </w:p>
    <w:p w14:paraId="182CF14A" w14:textId="63E15068" w:rsidR="00B54935" w:rsidRPr="00F737FD" w:rsidRDefault="00B54935" w:rsidP="00B54935">
      <w:pPr>
        <w:pStyle w:val="Header"/>
        <w:tabs>
          <w:tab w:val="clear" w:pos="4320"/>
          <w:tab w:val="clear" w:pos="8640"/>
        </w:tabs>
        <w:rPr>
          <w:rFonts w:cs="Arial"/>
          <w:sz w:val="20"/>
        </w:rPr>
      </w:pPr>
      <w:r w:rsidRPr="00056EDC">
        <w:rPr>
          <w:rFonts w:cs="Arial"/>
          <w:sz w:val="20"/>
        </w:rPr>
        <w:t>Amvuttra</w:t>
      </w:r>
      <w:r w:rsidRPr="00056EDC">
        <w:rPr>
          <w:rFonts w:cs="Arial"/>
          <w:bCs/>
          <w:spacing w:val="-3"/>
          <w:sz w:val="20"/>
        </w:rPr>
        <w:t xml:space="preserve"> (vutrisiran)</w:t>
      </w:r>
      <w:r w:rsidRPr="00056EDC">
        <w:rPr>
          <w:rFonts w:cs="Arial"/>
          <w:sz w:val="20"/>
        </w:rPr>
        <w:t>, Attruby</w:t>
      </w:r>
      <w:r w:rsidRPr="00056EDC">
        <w:rPr>
          <w:rFonts w:cs="Arial"/>
          <w:bCs/>
          <w:spacing w:val="-3"/>
          <w:sz w:val="20"/>
        </w:rPr>
        <w:t xml:space="preserve"> (acroamidis),</w:t>
      </w:r>
      <w:r w:rsidRPr="00056EDC">
        <w:rPr>
          <w:rFonts w:cs="Arial"/>
          <w:sz w:val="20"/>
        </w:rPr>
        <w:t xml:space="preserve"> and Vyndamax (tafamidis) are indicated for the treatment of cardiomyopathy caused by transthyretin-mediated amyloidosis (ATTR-CM) in adults.  These agents are indicated for both wild-type transthyretin amyloidosis (ATTRwt) and hereditary transthyretin amyloidosis (hATTR).  ATTR-CM results in accumulation of amyloid fibrils in the left ventricle which ultimately causes the myocardium to become stiff, resulting in heart failure. Attruby and Vyndamax are oral TTR stabilizers that selectively bind to TTR, stabilizing the tetramer of the TTR transport protein and slowing the formation of amyloid that causes ATTR-CM. Amvuttra is a subcutaneous TTR silencer that through RNA interference results in a reduction of serum TTR protein and TTR protein deposits in tissues. Although ATTR</w:t>
      </w:r>
      <w:r w:rsidRPr="001B75AC">
        <w:rPr>
          <w:rFonts w:cs="Arial"/>
          <w:sz w:val="20"/>
        </w:rPr>
        <w:t>-CM</w:t>
      </w:r>
      <w:r>
        <w:rPr>
          <w:rFonts w:cs="Arial"/>
          <w:sz w:val="20"/>
        </w:rPr>
        <w:t xml:space="preserve"> </w:t>
      </w:r>
      <w:r w:rsidRPr="0094085E">
        <w:rPr>
          <w:rFonts w:cs="Arial"/>
          <w:sz w:val="20"/>
        </w:rPr>
        <w:t>was historically considered a rare condition and precise estimates of its incidence and prevalence are not available, evidence is accumulating, both through direct ascertainment by sensitive imaging or indirectly through biobank analyses, that the disease is considerably more common than previously assumed.</w:t>
      </w:r>
    </w:p>
    <w:p w14:paraId="0F316872" w14:textId="77777777" w:rsidR="00B54935" w:rsidRPr="00F737FD" w:rsidRDefault="00B54935" w:rsidP="00B54935">
      <w:pPr>
        <w:pStyle w:val="Header"/>
        <w:tabs>
          <w:tab w:val="clear" w:pos="4320"/>
          <w:tab w:val="clear" w:pos="8640"/>
        </w:tabs>
        <w:rPr>
          <w:rFonts w:cs="Arial"/>
          <w:sz w:val="20"/>
        </w:rPr>
      </w:pPr>
    </w:p>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5B6E3986" w:rsidR="00846FA4" w:rsidRDefault="00B54935" w:rsidP="00846FA4">
      <w:pPr>
        <w:pStyle w:val="ListParagraph"/>
      </w:pPr>
      <w:r>
        <w:t>N/A</w:t>
      </w:r>
    </w:p>
    <w:p w14:paraId="47320590" w14:textId="77777777" w:rsidR="00FD34EA" w:rsidRDefault="00FD34EA" w:rsidP="00696E3A">
      <w:pPr>
        <w:rPr>
          <w:rFonts w:cs="Arial"/>
          <w:szCs w:val="20"/>
        </w:rPr>
      </w:pPr>
    </w:p>
    <w:p w14:paraId="0D9EA58C" w14:textId="77777777" w:rsidR="00D36CE1" w:rsidRDefault="00D36CE1" w:rsidP="00696E3A">
      <w:pPr>
        <w:rPr>
          <w:rFonts w:cs="Arial"/>
          <w:szCs w:val="20"/>
        </w:rPr>
      </w:pPr>
    </w:p>
    <w:p w14:paraId="266E7423" w14:textId="77777777" w:rsidR="00E3665E" w:rsidRDefault="00E3665E" w:rsidP="00696E3A">
      <w:pPr>
        <w:rPr>
          <w:rFonts w:cs="Arial"/>
          <w:szCs w:val="20"/>
        </w:rPr>
      </w:pPr>
    </w:p>
    <w:p w14:paraId="56404718" w14:textId="252714AD" w:rsidR="00846FA4" w:rsidRDefault="00846FA4" w:rsidP="00846FA4">
      <w:pPr>
        <w:rPr>
          <w:b/>
          <w:bCs/>
        </w:rPr>
      </w:pPr>
      <w:r>
        <w:rPr>
          <w:b/>
          <w:bCs/>
        </w:rPr>
        <w:lastRenderedPageBreak/>
        <w:t>Non-Preferred Agents:</w:t>
      </w:r>
    </w:p>
    <w:p w14:paraId="1F1CDC97" w14:textId="6CC787C1" w:rsidR="00D36CE1" w:rsidRPr="00D36CE1" w:rsidRDefault="00D36CE1" w:rsidP="00D36CE1">
      <w:pPr>
        <w:pStyle w:val="ListParagraph"/>
        <w:numPr>
          <w:ilvl w:val="0"/>
          <w:numId w:val="15"/>
        </w:numPr>
        <w:jc w:val="both"/>
        <w:rPr>
          <w:rFonts w:cs="Arial"/>
          <w:bCs/>
          <w:spacing w:val="-3"/>
        </w:rPr>
      </w:pPr>
      <w:r w:rsidRPr="00D36CE1">
        <w:rPr>
          <w:rFonts w:cs="Arial"/>
          <w:bCs/>
          <w:spacing w:val="-3"/>
        </w:rPr>
        <w:t>Amvuttra</w:t>
      </w:r>
    </w:p>
    <w:p w14:paraId="31474547" w14:textId="4247F590" w:rsidR="00D36CE1" w:rsidRPr="004E5F37" w:rsidRDefault="00D36CE1" w:rsidP="00D36CE1">
      <w:pPr>
        <w:numPr>
          <w:ilvl w:val="0"/>
          <w:numId w:val="15"/>
        </w:numPr>
        <w:contextualSpacing/>
        <w:jc w:val="both"/>
        <w:rPr>
          <w:rFonts w:cs="Arial"/>
          <w:bCs/>
          <w:spacing w:val="-3"/>
          <w:szCs w:val="20"/>
        </w:rPr>
      </w:pPr>
      <w:r w:rsidRPr="004E5F37">
        <w:rPr>
          <w:rFonts w:cs="Arial"/>
          <w:bCs/>
          <w:spacing w:val="-3"/>
          <w:szCs w:val="20"/>
        </w:rPr>
        <w:t>Attruby</w:t>
      </w:r>
    </w:p>
    <w:p w14:paraId="16398605" w14:textId="18F106FD" w:rsidR="00D36CE1" w:rsidRPr="00D36CE1" w:rsidRDefault="00D36CE1" w:rsidP="00D36CE1">
      <w:pPr>
        <w:numPr>
          <w:ilvl w:val="0"/>
          <w:numId w:val="15"/>
        </w:numPr>
        <w:contextualSpacing/>
        <w:jc w:val="both"/>
        <w:rPr>
          <w:rFonts w:cs="Arial"/>
          <w:bCs/>
          <w:spacing w:val="-3"/>
          <w:szCs w:val="20"/>
        </w:rPr>
      </w:pPr>
      <w:r w:rsidRPr="00D36CE1">
        <w:rPr>
          <w:rFonts w:cs="Arial"/>
          <w:bCs/>
          <w:spacing w:val="-3"/>
          <w:szCs w:val="20"/>
        </w:rPr>
        <w:t>Onpattro</w:t>
      </w:r>
    </w:p>
    <w:p w14:paraId="37D71D66" w14:textId="71A5DAAB" w:rsidR="00D36CE1" w:rsidRPr="00D36CE1" w:rsidRDefault="00D36CE1" w:rsidP="00D36CE1">
      <w:pPr>
        <w:numPr>
          <w:ilvl w:val="0"/>
          <w:numId w:val="15"/>
        </w:numPr>
        <w:contextualSpacing/>
        <w:jc w:val="both"/>
        <w:rPr>
          <w:rFonts w:cs="Arial"/>
          <w:bCs/>
          <w:spacing w:val="-3"/>
          <w:szCs w:val="20"/>
        </w:rPr>
      </w:pPr>
      <w:r w:rsidRPr="00D36CE1">
        <w:rPr>
          <w:rFonts w:cs="Arial"/>
          <w:bCs/>
          <w:spacing w:val="-3"/>
          <w:szCs w:val="20"/>
        </w:rPr>
        <w:t>Vyndamax</w:t>
      </w:r>
    </w:p>
    <w:p w14:paraId="6D696800" w14:textId="5BB7957D" w:rsidR="00E23EC0" w:rsidRPr="00D36CE1" w:rsidRDefault="00D36CE1" w:rsidP="00D36CE1">
      <w:pPr>
        <w:pStyle w:val="ListParagraph"/>
        <w:rPr>
          <w:rFonts w:cs="Arial"/>
          <w:spacing w:val="-3"/>
          <w:szCs w:val="20"/>
        </w:rPr>
      </w:pPr>
      <w:r w:rsidRPr="00D36CE1">
        <w:rPr>
          <w:rFonts w:cs="Arial"/>
          <w:bCs/>
          <w:spacing w:val="-3"/>
          <w:szCs w:val="20"/>
        </w:rPr>
        <w:t>Wainua</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BE55BA5" w:rsidR="0097028A" w:rsidRPr="0079438F" w:rsidRDefault="0097028A" w:rsidP="00696E3A">
      <w:pPr>
        <w:rPr>
          <w:b/>
        </w:rPr>
      </w:pPr>
      <w:r w:rsidRPr="00696E3A">
        <w:rPr>
          <w:b/>
          <w:bCs/>
        </w:rPr>
        <w:t>Drug class for review:</w:t>
      </w:r>
      <w:r w:rsidRPr="00C02553">
        <w:t xml:space="preserve"> </w:t>
      </w:r>
      <w:r w:rsidR="00264CBB" w:rsidRPr="00264CBB">
        <w:t>Agents for transthyretin-mediated amyloidosis (ATTR)</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913A1A3" w14:textId="02B91772" w:rsidR="003C03D8" w:rsidRPr="003C03D8" w:rsidRDefault="003C03D8" w:rsidP="003C03D8">
      <w:pPr>
        <w:contextualSpacing/>
        <w:rPr>
          <w:rFonts w:cs="Arial"/>
          <w:b/>
          <w:szCs w:val="20"/>
        </w:rPr>
      </w:pPr>
      <w:r>
        <w:rPr>
          <w:rFonts w:cs="Arial"/>
          <w:b/>
          <w:szCs w:val="20"/>
        </w:rPr>
        <w:t>Initial therapy:</w:t>
      </w:r>
    </w:p>
    <w:p w14:paraId="79E95823" w14:textId="6840629A" w:rsidR="00963F93" w:rsidRPr="00963F93" w:rsidRDefault="00963F93" w:rsidP="00963F93">
      <w:pPr>
        <w:numPr>
          <w:ilvl w:val="0"/>
          <w:numId w:val="17"/>
        </w:numPr>
        <w:contextualSpacing/>
        <w:rPr>
          <w:rFonts w:cs="Arial"/>
          <w:bCs/>
          <w:szCs w:val="20"/>
        </w:rPr>
      </w:pPr>
      <w:r w:rsidRPr="00963F93">
        <w:rPr>
          <w:rFonts w:cs="Arial"/>
          <w:bCs/>
          <w:szCs w:val="20"/>
        </w:rPr>
        <w:t>Must meet all of the following:</w:t>
      </w:r>
    </w:p>
    <w:p w14:paraId="07E73DD0" w14:textId="77777777" w:rsidR="00963F93" w:rsidRPr="00963F93" w:rsidRDefault="00963F93" w:rsidP="005E7FB4">
      <w:pPr>
        <w:numPr>
          <w:ilvl w:val="1"/>
          <w:numId w:val="17"/>
        </w:numPr>
        <w:ind w:left="720"/>
        <w:contextualSpacing/>
        <w:rPr>
          <w:rFonts w:cs="Arial"/>
          <w:bCs/>
          <w:szCs w:val="20"/>
        </w:rPr>
      </w:pPr>
      <w:r w:rsidRPr="00963F93">
        <w:rPr>
          <w:rFonts w:cs="Arial"/>
          <w:bCs/>
          <w:szCs w:val="20"/>
        </w:rPr>
        <w:t>Participant is aged 18 years or older.</w:t>
      </w:r>
    </w:p>
    <w:p w14:paraId="4D3B1B38" w14:textId="77777777" w:rsidR="00963F93" w:rsidRPr="00963F93" w:rsidRDefault="00963F93" w:rsidP="005E7FB4">
      <w:pPr>
        <w:numPr>
          <w:ilvl w:val="1"/>
          <w:numId w:val="17"/>
        </w:numPr>
        <w:ind w:left="720"/>
        <w:contextualSpacing/>
        <w:rPr>
          <w:rFonts w:cs="Arial"/>
          <w:bCs/>
          <w:szCs w:val="20"/>
        </w:rPr>
      </w:pPr>
      <w:r w:rsidRPr="00963F93">
        <w:rPr>
          <w:rFonts w:cs="Arial"/>
          <w:bCs/>
          <w:szCs w:val="20"/>
        </w:rPr>
        <w:t>Documented amyloid deposit by tissue biopsy or scintigraphy scan (e.g., Tc-99m PYP scan);</w:t>
      </w:r>
    </w:p>
    <w:p w14:paraId="6F901832" w14:textId="77777777" w:rsidR="00963F93" w:rsidRPr="00852903" w:rsidRDefault="00963F93" w:rsidP="005E7FB4">
      <w:pPr>
        <w:numPr>
          <w:ilvl w:val="1"/>
          <w:numId w:val="17"/>
        </w:numPr>
        <w:ind w:left="720"/>
        <w:contextualSpacing/>
        <w:rPr>
          <w:rFonts w:cs="Arial"/>
          <w:bCs/>
          <w:szCs w:val="20"/>
        </w:rPr>
      </w:pPr>
      <w:r w:rsidRPr="00852903">
        <w:rPr>
          <w:rFonts w:cs="Arial"/>
          <w:bCs/>
          <w:szCs w:val="20"/>
        </w:rPr>
        <w:t>Documented diagnosis of ATTR, including ATTRwt or hATTR:</w:t>
      </w:r>
    </w:p>
    <w:p w14:paraId="05FD22BD" w14:textId="77777777" w:rsidR="00963F93" w:rsidRPr="00852903" w:rsidRDefault="00963F93" w:rsidP="005E7FB4">
      <w:pPr>
        <w:numPr>
          <w:ilvl w:val="2"/>
          <w:numId w:val="17"/>
        </w:numPr>
        <w:ind w:left="1080"/>
        <w:contextualSpacing/>
        <w:rPr>
          <w:rFonts w:cs="Arial"/>
          <w:bCs/>
          <w:szCs w:val="20"/>
        </w:rPr>
      </w:pPr>
      <w:r w:rsidRPr="00852903">
        <w:rPr>
          <w:rFonts w:cs="Arial"/>
          <w:bCs/>
          <w:szCs w:val="20"/>
        </w:rPr>
        <w:t>For participants with hATTR, confirmation of pathogenic transthyretin variant;</w:t>
      </w:r>
    </w:p>
    <w:p w14:paraId="5B2A67C7" w14:textId="77777777" w:rsidR="00963F93" w:rsidRPr="00963F93" w:rsidRDefault="00963F93" w:rsidP="005E7FB4">
      <w:pPr>
        <w:numPr>
          <w:ilvl w:val="1"/>
          <w:numId w:val="17"/>
        </w:numPr>
        <w:ind w:left="720"/>
        <w:contextualSpacing/>
        <w:rPr>
          <w:rFonts w:cs="Arial"/>
          <w:bCs/>
          <w:szCs w:val="20"/>
        </w:rPr>
      </w:pPr>
      <w:r w:rsidRPr="00963F93">
        <w:rPr>
          <w:rFonts w:cs="Arial"/>
          <w:bCs/>
          <w:szCs w:val="20"/>
        </w:rPr>
        <w:t>Prescribed by or in consultation with a neurologist</w:t>
      </w:r>
      <w:r w:rsidRPr="00963F93">
        <w:rPr>
          <w:bCs/>
          <w:szCs w:val="20"/>
        </w:rPr>
        <w:t>, cardiologist, or</w:t>
      </w:r>
      <w:r w:rsidRPr="00963F93">
        <w:rPr>
          <w:rFonts w:cs="Arial"/>
          <w:szCs w:val="20"/>
        </w:rPr>
        <w:t xml:space="preserve"> other appropriate specialist in the treated disease state.</w:t>
      </w:r>
    </w:p>
    <w:p w14:paraId="04DC2333" w14:textId="77777777" w:rsidR="00963F93" w:rsidRPr="00963F93" w:rsidRDefault="00963F93" w:rsidP="00963F93">
      <w:pPr>
        <w:numPr>
          <w:ilvl w:val="0"/>
          <w:numId w:val="16"/>
        </w:numPr>
        <w:contextualSpacing/>
        <w:rPr>
          <w:rFonts w:cs="Arial"/>
          <w:bCs/>
          <w:szCs w:val="20"/>
        </w:rPr>
      </w:pPr>
      <w:r w:rsidRPr="00963F93">
        <w:rPr>
          <w:rFonts w:cs="Arial"/>
          <w:bCs/>
          <w:szCs w:val="20"/>
        </w:rPr>
        <w:t>Additional approval criteria for a documented diagnosis of polyneuropathy caused by hATTR:</w:t>
      </w:r>
    </w:p>
    <w:p w14:paraId="0C3F1035" w14:textId="34B0D5E0" w:rsidR="00963F93" w:rsidRPr="00963F93" w:rsidRDefault="00963F93" w:rsidP="005E7FB4">
      <w:pPr>
        <w:numPr>
          <w:ilvl w:val="1"/>
          <w:numId w:val="16"/>
        </w:numPr>
        <w:ind w:left="720"/>
        <w:contextualSpacing/>
        <w:rPr>
          <w:rFonts w:cs="Arial"/>
          <w:bCs/>
          <w:szCs w:val="20"/>
        </w:rPr>
      </w:pPr>
      <w:r w:rsidRPr="00963F93">
        <w:rPr>
          <w:rFonts w:cs="Arial"/>
          <w:bCs/>
          <w:szCs w:val="20"/>
        </w:rPr>
        <w:t>Claim is for Amvuttra, Onpattro, or Wainua.</w:t>
      </w:r>
    </w:p>
    <w:p w14:paraId="75B951DC" w14:textId="77777777" w:rsidR="00963F93" w:rsidRPr="00963F93" w:rsidRDefault="00963F93" w:rsidP="00963F93">
      <w:pPr>
        <w:numPr>
          <w:ilvl w:val="0"/>
          <w:numId w:val="16"/>
        </w:numPr>
        <w:contextualSpacing/>
        <w:rPr>
          <w:rFonts w:cs="Arial"/>
          <w:szCs w:val="20"/>
        </w:rPr>
      </w:pPr>
      <w:r w:rsidRPr="00963F93">
        <w:rPr>
          <w:rFonts w:cs="Arial"/>
          <w:bCs/>
          <w:szCs w:val="20"/>
        </w:rPr>
        <w:t xml:space="preserve">Additional approval criteria for a documented diagnosis of </w:t>
      </w:r>
      <w:r w:rsidRPr="00963F93">
        <w:rPr>
          <w:rFonts w:cs="Arial"/>
          <w:szCs w:val="20"/>
        </w:rPr>
        <w:t>cardiomyopathy caused by ATTR:</w:t>
      </w:r>
    </w:p>
    <w:p w14:paraId="61866B6B" w14:textId="77777777" w:rsidR="00963F93" w:rsidRPr="00963F93" w:rsidRDefault="00963F93" w:rsidP="005E7FB4">
      <w:pPr>
        <w:numPr>
          <w:ilvl w:val="1"/>
          <w:numId w:val="16"/>
        </w:numPr>
        <w:ind w:left="720"/>
        <w:contextualSpacing/>
        <w:rPr>
          <w:rFonts w:cs="Arial"/>
          <w:szCs w:val="20"/>
        </w:rPr>
      </w:pPr>
      <w:r w:rsidRPr="00963F93">
        <w:rPr>
          <w:rFonts w:cs="Arial"/>
          <w:bCs/>
          <w:szCs w:val="20"/>
        </w:rPr>
        <w:t xml:space="preserve">Claim is for </w:t>
      </w:r>
      <w:r w:rsidRPr="00852903">
        <w:rPr>
          <w:rFonts w:cs="Arial"/>
          <w:bCs/>
          <w:szCs w:val="20"/>
        </w:rPr>
        <w:t xml:space="preserve">Amvuttra, Attruby, </w:t>
      </w:r>
      <w:r w:rsidRPr="00FE5FF1">
        <w:rPr>
          <w:rFonts w:cs="Arial"/>
          <w:b/>
          <w:bCs/>
          <w:strike/>
          <w:color w:val="1F497D" w:themeColor="text2"/>
          <w:szCs w:val="20"/>
        </w:rPr>
        <w:t xml:space="preserve">Vyndaqel </w:t>
      </w:r>
      <w:r w:rsidRPr="00963F93">
        <w:rPr>
          <w:rFonts w:cs="Arial"/>
          <w:bCs/>
          <w:szCs w:val="20"/>
        </w:rPr>
        <w:t>or Vyndamax</w:t>
      </w:r>
      <w:r w:rsidRPr="00963F93">
        <w:rPr>
          <w:rFonts w:cs="Arial"/>
          <w:szCs w:val="20"/>
        </w:rPr>
        <w:t>;</w:t>
      </w:r>
    </w:p>
    <w:p w14:paraId="7CD3C381" w14:textId="77777777" w:rsidR="00963F93" w:rsidRPr="00963F93" w:rsidRDefault="00963F93" w:rsidP="005E7FB4">
      <w:pPr>
        <w:numPr>
          <w:ilvl w:val="1"/>
          <w:numId w:val="16"/>
        </w:numPr>
        <w:ind w:left="720"/>
        <w:contextualSpacing/>
        <w:rPr>
          <w:rFonts w:cs="Arial"/>
          <w:szCs w:val="20"/>
        </w:rPr>
      </w:pPr>
      <w:r w:rsidRPr="00963F93">
        <w:rPr>
          <w:rFonts w:cs="Arial"/>
          <w:szCs w:val="20"/>
        </w:rPr>
        <w:t>NYHA functional Class I-III;</w:t>
      </w:r>
    </w:p>
    <w:p w14:paraId="630031AF" w14:textId="77777777" w:rsidR="00963F93" w:rsidRPr="00963F93" w:rsidRDefault="00963F93" w:rsidP="005E7FB4">
      <w:pPr>
        <w:numPr>
          <w:ilvl w:val="1"/>
          <w:numId w:val="16"/>
        </w:numPr>
        <w:ind w:left="720"/>
        <w:contextualSpacing/>
        <w:rPr>
          <w:rFonts w:cs="Arial"/>
          <w:szCs w:val="20"/>
        </w:rPr>
      </w:pPr>
      <w:r w:rsidRPr="00963F93">
        <w:rPr>
          <w:rFonts w:cs="Arial"/>
          <w:szCs w:val="20"/>
        </w:rPr>
        <w:t xml:space="preserve">Documented diagnosis of heart failure; </w:t>
      </w:r>
      <w:r w:rsidRPr="00963F93">
        <w:rPr>
          <w:rFonts w:cs="Arial"/>
          <w:b/>
          <w:bCs/>
          <w:szCs w:val="20"/>
        </w:rPr>
        <w:t>AND</w:t>
      </w:r>
    </w:p>
    <w:p w14:paraId="197EF04D" w14:textId="77777777" w:rsidR="00963F93" w:rsidRPr="00963F93" w:rsidRDefault="00963F93" w:rsidP="005E7FB4">
      <w:pPr>
        <w:numPr>
          <w:ilvl w:val="1"/>
          <w:numId w:val="16"/>
        </w:numPr>
        <w:ind w:left="720"/>
        <w:contextualSpacing/>
        <w:rPr>
          <w:rFonts w:cs="Arial"/>
          <w:szCs w:val="20"/>
        </w:rPr>
      </w:pPr>
      <w:r w:rsidRPr="00963F93">
        <w:rPr>
          <w:rFonts w:cs="Arial"/>
          <w:szCs w:val="20"/>
        </w:rPr>
        <w:t>Documented echocardiogram with end-diastolic interventricular septal wall thickness</w:t>
      </w:r>
      <w:r w:rsidRPr="00963F93">
        <w:rPr>
          <w:rFonts w:eastAsia="Arial" w:cs="Arial"/>
          <w:szCs w:val="20"/>
        </w:rPr>
        <w:t xml:space="preserve"> </w:t>
      </w:r>
      <w:r w:rsidRPr="006515D2">
        <w:rPr>
          <w:rFonts w:eastAsia="Arial" w:cs="Arial"/>
          <w:b/>
          <w:bCs/>
          <w:color w:val="1F497D" w:themeColor="text2"/>
          <w:szCs w:val="20"/>
        </w:rPr>
        <w:t>≥</w:t>
      </w:r>
      <w:r w:rsidRPr="00963F93">
        <w:rPr>
          <w:rFonts w:eastAsia="Arial" w:cs="Arial"/>
          <w:b/>
          <w:bCs/>
          <w:color w:val="0070C0"/>
          <w:szCs w:val="20"/>
        </w:rPr>
        <w:t xml:space="preserve"> </w:t>
      </w:r>
      <w:r w:rsidRPr="00963F93">
        <w:rPr>
          <w:rFonts w:cs="Arial"/>
          <w:szCs w:val="20"/>
        </w:rPr>
        <w:t>12 mm.</w:t>
      </w:r>
    </w:p>
    <w:p w14:paraId="35D578C3" w14:textId="77777777" w:rsidR="00963F93" w:rsidRPr="000328FD" w:rsidRDefault="00963F93" w:rsidP="005E7FB4">
      <w:pPr>
        <w:numPr>
          <w:ilvl w:val="1"/>
          <w:numId w:val="16"/>
        </w:numPr>
        <w:ind w:left="720"/>
        <w:contextualSpacing/>
        <w:rPr>
          <w:rFonts w:cs="Arial"/>
          <w:szCs w:val="20"/>
        </w:rPr>
      </w:pPr>
      <w:r w:rsidRPr="000328FD">
        <w:rPr>
          <w:rFonts w:cs="Arial"/>
          <w:szCs w:val="20"/>
        </w:rPr>
        <w:t>Additional approval criteria for Amvuttra:</w:t>
      </w:r>
    </w:p>
    <w:p w14:paraId="5986B2EB" w14:textId="77777777" w:rsidR="00963F93" w:rsidRPr="000328FD" w:rsidRDefault="00963F93" w:rsidP="005E7FB4">
      <w:pPr>
        <w:numPr>
          <w:ilvl w:val="2"/>
          <w:numId w:val="16"/>
        </w:numPr>
        <w:ind w:left="1080"/>
        <w:contextualSpacing/>
        <w:rPr>
          <w:rFonts w:cs="Arial"/>
          <w:szCs w:val="20"/>
        </w:rPr>
      </w:pPr>
      <w:r w:rsidRPr="000328FD">
        <w:rPr>
          <w:rFonts w:cs="Arial"/>
          <w:szCs w:val="20"/>
        </w:rPr>
        <w:t xml:space="preserve">Documented 6 month trial of one of the following TTR stabilizing agents: </w:t>
      </w:r>
      <w:r w:rsidRPr="00FE5FF1">
        <w:rPr>
          <w:rFonts w:cs="Arial"/>
          <w:b/>
          <w:bCs/>
          <w:strike/>
          <w:color w:val="1F497D" w:themeColor="text2"/>
          <w:szCs w:val="20"/>
        </w:rPr>
        <w:t>Vyndaqel</w:t>
      </w:r>
      <w:r w:rsidRPr="000328FD">
        <w:rPr>
          <w:rFonts w:cs="Arial"/>
          <w:szCs w:val="20"/>
        </w:rPr>
        <w:t>, Vyndamax or Attruby.</w:t>
      </w:r>
    </w:p>
    <w:p w14:paraId="1F8AD8A9" w14:textId="2C7B171E" w:rsidR="00963F93" w:rsidRPr="00963F93" w:rsidRDefault="00963F93" w:rsidP="00963F93">
      <w:pPr>
        <w:numPr>
          <w:ilvl w:val="0"/>
          <w:numId w:val="16"/>
        </w:numPr>
        <w:contextualSpacing/>
        <w:rPr>
          <w:rFonts w:cs="Arial"/>
          <w:szCs w:val="20"/>
        </w:rPr>
      </w:pPr>
      <w:r w:rsidRPr="00963F93">
        <w:rPr>
          <w:rFonts w:cs="Arial"/>
          <w:szCs w:val="20"/>
        </w:rPr>
        <w:t>Utilization of two agents simultaneously requires letter of medical necessity and specific treatment plan.</w:t>
      </w:r>
    </w:p>
    <w:p w14:paraId="2CA68577" w14:textId="77777777" w:rsidR="00963F93" w:rsidRPr="00963F93" w:rsidRDefault="00963F93" w:rsidP="00963F93">
      <w:pPr>
        <w:numPr>
          <w:ilvl w:val="0"/>
          <w:numId w:val="16"/>
        </w:numPr>
        <w:contextualSpacing/>
        <w:rPr>
          <w:rFonts w:cs="Arial"/>
          <w:szCs w:val="20"/>
        </w:rPr>
      </w:pPr>
      <w:r w:rsidRPr="00963F93">
        <w:rPr>
          <w:rFonts w:cs="Arial"/>
          <w:szCs w:val="20"/>
        </w:rPr>
        <w:t>Initial approval period: 6 months</w:t>
      </w:r>
    </w:p>
    <w:p w14:paraId="1B509DCA" w14:textId="77777777" w:rsidR="00635DDB" w:rsidRDefault="00635DDB" w:rsidP="00635DDB">
      <w:pPr>
        <w:rPr>
          <w:rFonts w:cs="Arial"/>
          <w:szCs w:val="20"/>
        </w:rPr>
      </w:pPr>
    </w:p>
    <w:p w14:paraId="547D024D" w14:textId="3A698DC3" w:rsidR="003C03D8" w:rsidRPr="003C03D8" w:rsidRDefault="003C03D8" w:rsidP="00635DDB">
      <w:pPr>
        <w:rPr>
          <w:rFonts w:cs="Arial"/>
          <w:b/>
          <w:bCs/>
          <w:szCs w:val="20"/>
        </w:rPr>
      </w:pPr>
      <w:r>
        <w:rPr>
          <w:rFonts w:cs="Arial"/>
          <w:b/>
          <w:bCs/>
          <w:szCs w:val="20"/>
        </w:rPr>
        <w:t>Continuation of therapy:</w:t>
      </w:r>
    </w:p>
    <w:p w14:paraId="4BAFB58E" w14:textId="77777777" w:rsidR="00EF1BF5" w:rsidRPr="00EF1BF5" w:rsidRDefault="00EF1BF5" w:rsidP="00EF1BF5">
      <w:pPr>
        <w:numPr>
          <w:ilvl w:val="0"/>
          <w:numId w:val="16"/>
        </w:numPr>
        <w:contextualSpacing/>
        <w:rPr>
          <w:rFonts w:cs="Arial"/>
          <w:szCs w:val="20"/>
        </w:rPr>
      </w:pPr>
      <w:r w:rsidRPr="00EF1BF5">
        <w:rPr>
          <w:rFonts w:cs="Arial"/>
          <w:bCs/>
          <w:szCs w:val="20"/>
        </w:rPr>
        <w:t>Continuation of therapy criteria for ATTR-CM (</w:t>
      </w:r>
      <w:r w:rsidRPr="000328FD">
        <w:rPr>
          <w:rFonts w:cs="Arial"/>
          <w:bCs/>
          <w:szCs w:val="20"/>
        </w:rPr>
        <w:t xml:space="preserve">Amvuttra, Attruby, </w:t>
      </w:r>
      <w:r w:rsidRPr="00FE5FF1">
        <w:rPr>
          <w:rFonts w:cs="Arial"/>
          <w:b/>
          <w:bCs/>
          <w:strike/>
          <w:color w:val="1F497D" w:themeColor="text2"/>
          <w:szCs w:val="20"/>
        </w:rPr>
        <w:t>Vyndaqel</w:t>
      </w:r>
      <w:r w:rsidRPr="00EF1BF5">
        <w:rPr>
          <w:rFonts w:cs="Arial"/>
          <w:szCs w:val="20"/>
        </w:rPr>
        <w:t xml:space="preserve"> </w:t>
      </w:r>
      <w:r w:rsidRPr="00EF1BF5">
        <w:rPr>
          <w:rFonts w:cs="Arial"/>
          <w:bCs/>
          <w:szCs w:val="20"/>
        </w:rPr>
        <w:t>or Vyndamax</w:t>
      </w:r>
      <w:r w:rsidRPr="00EF1BF5">
        <w:rPr>
          <w:rFonts w:cs="Arial"/>
          <w:szCs w:val="20"/>
        </w:rPr>
        <w:t>)</w:t>
      </w:r>
      <w:r w:rsidRPr="00EF1BF5">
        <w:rPr>
          <w:rFonts w:cs="Arial"/>
          <w:bCs/>
          <w:szCs w:val="20"/>
        </w:rPr>
        <w:t>:</w:t>
      </w:r>
    </w:p>
    <w:p w14:paraId="2ED4EBCB" w14:textId="77777777" w:rsidR="00EF1BF5" w:rsidRPr="00EF1BF5" w:rsidRDefault="00EF1BF5" w:rsidP="005E7FB4">
      <w:pPr>
        <w:numPr>
          <w:ilvl w:val="1"/>
          <w:numId w:val="18"/>
        </w:numPr>
        <w:ind w:left="720"/>
        <w:contextualSpacing/>
        <w:rPr>
          <w:rFonts w:cs="Arial"/>
          <w:bCs/>
          <w:szCs w:val="20"/>
        </w:rPr>
      </w:pPr>
      <w:r w:rsidRPr="00EF1BF5">
        <w:rPr>
          <w:rFonts w:cs="Arial"/>
          <w:bCs/>
          <w:szCs w:val="20"/>
        </w:rPr>
        <w:t xml:space="preserve">Documentation of clinical benefit of therapy, including </w:t>
      </w:r>
      <w:r w:rsidRPr="00EF1BF5">
        <w:rPr>
          <w:rFonts w:cs="Arial"/>
          <w:szCs w:val="20"/>
        </w:rPr>
        <w:t>slowing of clinical decline, decrease in cardiovascular related hospitalizations, improvement in 6-minute walk test, and/or stable or improvement in the Kansas City Cardiomyopathy Questionnaire-Overall Summary (KCCQ-OS).</w:t>
      </w:r>
    </w:p>
    <w:p w14:paraId="1F4B5D3B" w14:textId="67789370" w:rsidR="00635DDB" w:rsidRDefault="00635DDB" w:rsidP="00635DDB">
      <w:pPr>
        <w:pStyle w:val="ListParagraph"/>
      </w:pPr>
      <w:r w:rsidRPr="00C02553">
        <w:t>Continuation approval period:</w:t>
      </w:r>
      <w:r>
        <w:t xml:space="preserve"> </w:t>
      </w:r>
      <w:r w:rsidR="00023CB2">
        <w:rPr>
          <w:rFonts w:cs="Arial"/>
          <w:szCs w:val="20"/>
        </w:rPr>
        <w:t>6 months.</w:t>
      </w:r>
    </w:p>
    <w:p w14:paraId="0B0C0D72" w14:textId="77777777" w:rsidR="005328B2" w:rsidRDefault="005328B2" w:rsidP="0064149A">
      <w:pPr>
        <w:rPr>
          <w:rFonts w:cs="Arial"/>
          <w:szCs w:val="20"/>
        </w:rPr>
      </w:pPr>
    </w:p>
    <w:p w14:paraId="7FC01B05" w14:textId="77777777" w:rsidR="0018679E" w:rsidRDefault="0018679E" w:rsidP="0064149A">
      <w:pPr>
        <w:rPr>
          <w:rFonts w:cs="Arial"/>
          <w:szCs w:val="20"/>
        </w:rPr>
      </w:pPr>
    </w:p>
    <w:p w14:paraId="423EEE52" w14:textId="77777777" w:rsidR="0018679E" w:rsidRDefault="0018679E" w:rsidP="0064149A">
      <w:pPr>
        <w:rPr>
          <w:rFonts w:cs="Arial"/>
          <w:szCs w:val="20"/>
        </w:rPr>
      </w:pPr>
    </w:p>
    <w:p w14:paraId="37D43B77" w14:textId="77777777" w:rsidR="0018679E" w:rsidRDefault="0018679E" w:rsidP="0064149A">
      <w:pPr>
        <w:rPr>
          <w:rFonts w:cs="Arial"/>
          <w:szCs w:val="20"/>
        </w:rPr>
      </w:pPr>
    </w:p>
    <w:p w14:paraId="684CAF2E" w14:textId="77777777" w:rsidR="009E0EAF" w:rsidRPr="002C2C41" w:rsidRDefault="009E0EAF"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34DD01B8" w14:textId="34C7AB42" w:rsidR="00904D7A" w:rsidRDefault="00904D7A" w:rsidP="00904D7A">
      <w:pPr>
        <w:pStyle w:val="ListParagraph"/>
      </w:pPr>
      <w:r w:rsidRPr="005328B2">
        <w:t>Any approval criteria are not met;</w:t>
      </w:r>
    </w:p>
    <w:p w14:paraId="7B8EB7B2" w14:textId="77777777" w:rsidR="001658FA" w:rsidRPr="00654C51" w:rsidRDefault="001658FA" w:rsidP="001658FA">
      <w:pPr>
        <w:pStyle w:val="ListParagraph"/>
        <w:rPr>
          <w:noProof/>
        </w:rPr>
      </w:pPr>
      <w:r w:rsidRPr="00654C51">
        <w:rPr>
          <w:noProof/>
        </w:rPr>
        <w:t xml:space="preserve">Claim is for </w:t>
      </w:r>
      <w:r w:rsidRPr="000328FD">
        <w:rPr>
          <w:noProof/>
        </w:rPr>
        <w:t xml:space="preserve">Amvuttra, Attruby, </w:t>
      </w:r>
      <w:r w:rsidRPr="00FE5FF1">
        <w:rPr>
          <w:b/>
          <w:bCs/>
          <w:strike/>
          <w:noProof/>
          <w:color w:val="1F497D" w:themeColor="text2"/>
        </w:rPr>
        <w:t>Vyndaqel</w:t>
      </w:r>
      <w:r w:rsidRPr="00654C51">
        <w:rPr>
          <w:noProof/>
        </w:rPr>
        <w:t xml:space="preserve"> or Vyndamax and presence of any of the following:</w:t>
      </w:r>
    </w:p>
    <w:p w14:paraId="2D2A1AAE" w14:textId="77777777" w:rsidR="001658FA" w:rsidRPr="002D24E0" w:rsidRDefault="001658FA" w:rsidP="001658FA">
      <w:pPr>
        <w:pStyle w:val="ListParagraph"/>
        <w:numPr>
          <w:ilvl w:val="1"/>
          <w:numId w:val="6"/>
        </w:numPr>
        <w:rPr>
          <w:rFonts w:cs="Arial"/>
          <w:bCs/>
          <w:noProof/>
          <w:szCs w:val="20"/>
        </w:rPr>
      </w:pPr>
      <w:r w:rsidRPr="008F2340">
        <w:rPr>
          <w:rFonts w:cs="Arial"/>
          <w:bCs/>
          <w:noProof/>
          <w:szCs w:val="20"/>
        </w:rPr>
        <w:t>NYHA f</w:t>
      </w:r>
      <w:r>
        <w:rPr>
          <w:rFonts w:cs="Arial"/>
          <w:bCs/>
          <w:noProof/>
          <w:szCs w:val="20"/>
        </w:rPr>
        <w:t>u</w:t>
      </w:r>
      <w:r w:rsidRPr="008F2340">
        <w:rPr>
          <w:rFonts w:cs="Arial"/>
          <w:bCs/>
          <w:noProof/>
          <w:szCs w:val="20"/>
        </w:rPr>
        <w:t>nctional Class IV</w:t>
      </w:r>
      <w:r>
        <w:rPr>
          <w:rFonts w:cs="Arial"/>
          <w:bCs/>
          <w:noProof/>
          <w:szCs w:val="20"/>
        </w:rPr>
        <w:t>;</w:t>
      </w:r>
    </w:p>
    <w:p w14:paraId="459B9F85" w14:textId="630282AB" w:rsidR="001658FA" w:rsidRPr="001658FA" w:rsidRDefault="001658FA" w:rsidP="001658FA">
      <w:pPr>
        <w:pStyle w:val="ListParagraph"/>
        <w:numPr>
          <w:ilvl w:val="1"/>
          <w:numId w:val="6"/>
        </w:numPr>
        <w:rPr>
          <w:rFonts w:cs="Arial"/>
          <w:bCs/>
          <w:noProof/>
          <w:szCs w:val="20"/>
        </w:rPr>
      </w:pPr>
      <w:r>
        <w:rPr>
          <w:rFonts w:cs="Arial"/>
          <w:bCs/>
          <w:noProof/>
          <w:szCs w:val="20"/>
        </w:rPr>
        <w:t>P</w:t>
      </w:r>
      <w:r w:rsidRPr="008F2340">
        <w:rPr>
          <w:rFonts w:cs="Arial"/>
          <w:bCs/>
          <w:noProof/>
          <w:szCs w:val="20"/>
        </w:rPr>
        <w:t>resence of a cardiac mechanical assist device</w:t>
      </w:r>
      <w:r>
        <w:rPr>
          <w:rFonts w:cs="Arial"/>
          <w:bCs/>
          <w:noProof/>
          <w:szCs w:val="20"/>
        </w:rPr>
        <w:t xml:space="preserve">; </w:t>
      </w:r>
      <w:r w:rsidRPr="00537695">
        <w:rPr>
          <w:rFonts w:cs="Arial"/>
          <w:b/>
          <w:noProof/>
          <w:szCs w:val="20"/>
        </w:rPr>
        <w:t>OR</w:t>
      </w:r>
    </w:p>
    <w:p w14:paraId="1D97C1E5" w14:textId="77777777" w:rsidR="00904D7A" w:rsidRPr="005328B2" w:rsidRDefault="00904D7A" w:rsidP="00904D7A">
      <w:pPr>
        <w:pStyle w:val="ListParagraph"/>
      </w:pPr>
      <w:r w:rsidRPr="005328B2">
        <w:t>Claim exceeds maximum dosing limitations:</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3240"/>
        <w:gridCol w:w="2970"/>
      </w:tblGrid>
      <w:tr w:rsidR="00977BE0" w:rsidRPr="00891504" w14:paraId="4E49E5EA" w14:textId="77777777" w:rsidTr="00977BE0">
        <w:tc>
          <w:tcPr>
            <w:tcW w:w="2880" w:type="dxa"/>
            <w:shd w:val="clear" w:color="auto" w:fill="FABF8F" w:themeFill="accent6" w:themeFillTint="99"/>
            <w:vAlign w:val="bottom"/>
          </w:tcPr>
          <w:p w14:paraId="497CC1A5" w14:textId="77777777" w:rsidR="00977BE0" w:rsidRPr="00DE6499" w:rsidRDefault="00977BE0" w:rsidP="007B1724">
            <w:pPr>
              <w:rPr>
                <w:rFonts w:cs="Arial"/>
                <w:b/>
                <w:bCs/>
                <w:szCs w:val="20"/>
              </w:rPr>
            </w:pPr>
            <w:r w:rsidRPr="00DE6499">
              <w:rPr>
                <w:rFonts w:cs="Arial"/>
                <w:b/>
                <w:bCs/>
                <w:szCs w:val="20"/>
              </w:rPr>
              <w:lastRenderedPageBreak/>
              <w:t>Drug Description</w:t>
            </w:r>
          </w:p>
        </w:tc>
        <w:tc>
          <w:tcPr>
            <w:tcW w:w="3240" w:type="dxa"/>
            <w:shd w:val="clear" w:color="auto" w:fill="FABF8F" w:themeFill="accent6" w:themeFillTint="99"/>
            <w:vAlign w:val="bottom"/>
          </w:tcPr>
          <w:p w14:paraId="521DC3F6" w14:textId="77777777" w:rsidR="00977BE0" w:rsidRPr="00DE6499" w:rsidRDefault="00977BE0" w:rsidP="007B1724">
            <w:pPr>
              <w:rPr>
                <w:rFonts w:cs="Arial"/>
                <w:b/>
                <w:bCs/>
                <w:szCs w:val="20"/>
              </w:rPr>
            </w:pPr>
            <w:r w:rsidRPr="00DE6499">
              <w:rPr>
                <w:rFonts w:cs="Arial"/>
                <w:b/>
                <w:bCs/>
                <w:szCs w:val="20"/>
              </w:rPr>
              <w:t>Generic Equivalent</w:t>
            </w:r>
          </w:p>
        </w:tc>
        <w:tc>
          <w:tcPr>
            <w:tcW w:w="2970" w:type="dxa"/>
            <w:shd w:val="clear" w:color="auto" w:fill="FABF8F" w:themeFill="accent6" w:themeFillTint="99"/>
          </w:tcPr>
          <w:p w14:paraId="5AF39938" w14:textId="77777777" w:rsidR="00977BE0" w:rsidRPr="00DE6499" w:rsidRDefault="00977BE0" w:rsidP="007B1724">
            <w:pPr>
              <w:rPr>
                <w:rFonts w:cs="Arial"/>
                <w:b/>
                <w:bCs/>
                <w:szCs w:val="20"/>
              </w:rPr>
            </w:pPr>
            <w:r w:rsidRPr="00DE6499">
              <w:rPr>
                <w:rFonts w:cs="Arial"/>
                <w:b/>
                <w:bCs/>
                <w:szCs w:val="20"/>
              </w:rPr>
              <w:t>Max Dosing Limitation</w:t>
            </w:r>
          </w:p>
        </w:tc>
      </w:tr>
      <w:tr w:rsidR="00977BE0" w:rsidRPr="00576D0F" w14:paraId="1D03F378" w14:textId="77777777" w:rsidTr="00977BE0">
        <w:tc>
          <w:tcPr>
            <w:tcW w:w="2880" w:type="dxa"/>
            <w:tcBorders>
              <w:top w:val="single" w:sz="4" w:space="0" w:color="auto"/>
              <w:left w:val="single" w:sz="4" w:space="0" w:color="auto"/>
              <w:bottom w:val="single" w:sz="4" w:space="0" w:color="auto"/>
              <w:right w:val="single" w:sz="4" w:space="0" w:color="auto"/>
            </w:tcBorders>
            <w:vAlign w:val="center"/>
          </w:tcPr>
          <w:p w14:paraId="0406236B" w14:textId="77777777" w:rsidR="00977BE0" w:rsidRPr="000328FD" w:rsidRDefault="00977BE0" w:rsidP="007B1724">
            <w:pPr>
              <w:jc w:val="both"/>
              <w:rPr>
                <w:rFonts w:cs="Arial"/>
              </w:rPr>
            </w:pPr>
            <w:r w:rsidRPr="000328FD">
              <w:rPr>
                <w:rFonts w:cs="Arial"/>
                <w:szCs w:val="20"/>
              </w:rPr>
              <w:t>ATTRUBY 356 MG TABLET</w:t>
            </w:r>
          </w:p>
        </w:tc>
        <w:tc>
          <w:tcPr>
            <w:tcW w:w="3240" w:type="dxa"/>
            <w:tcBorders>
              <w:top w:val="single" w:sz="4" w:space="0" w:color="auto"/>
              <w:left w:val="single" w:sz="4" w:space="0" w:color="auto"/>
              <w:bottom w:val="single" w:sz="4" w:space="0" w:color="auto"/>
              <w:right w:val="single" w:sz="4" w:space="0" w:color="auto"/>
            </w:tcBorders>
            <w:vAlign w:val="center"/>
          </w:tcPr>
          <w:p w14:paraId="7A897870" w14:textId="77777777" w:rsidR="00977BE0" w:rsidRPr="000328FD" w:rsidRDefault="00977BE0" w:rsidP="007B1724">
            <w:pPr>
              <w:rPr>
                <w:rFonts w:cs="Arial"/>
                <w:szCs w:val="20"/>
              </w:rPr>
            </w:pPr>
            <w:r w:rsidRPr="000328FD">
              <w:rPr>
                <w:rFonts w:cs="Arial"/>
                <w:szCs w:val="20"/>
              </w:rPr>
              <w:t>ACORAMIDIS HCL</w:t>
            </w:r>
          </w:p>
        </w:tc>
        <w:tc>
          <w:tcPr>
            <w:tcW w:w="2970" w:type="dxa"/>
            <w:tcBorders>
              <w:top w:val="single" w:sz="4" w:space="0" w:color="auto"/>
              <w:left w:val="single" w:sz="4" w:space="0" w:color="auto"/>
              <w:bottom w:val="single" w:sz="4" w:space="0" w:color="auto"/>
              <w:right w:val="single" w:sz="4" w:space="0" w:color="auto"/>
            </w:tcBorders>
          </w:tcPr>
          <w:p w14:paraId="06DE6637" w14:textId="77777777" w:rsidR="00977BE0" w:rsidRPr="000328FD" w:rsidRDefault="00977BE0" w:rsidP="007B1724">
            <w:pPr>
              <w:rPr>
                <w:rFonts w:cs="Arial"/>
                <w:caps/>
                <w:szCs w:val="20"/>
              </w:rPr>
            </w:pPr>
            <w:r w:rsidRPr="000328FD">
              <w:rPr>
                <w:rFonts w:cs="Arial"/>
                <w:caps/>
                <w:szCs w:val="20"/>
              </w:rPr>
              <w:t>4 tablets PER DAY</w:t>
            </w:r>
          </w:p>
        </w:tc>
      </w:tr>
      <w:tr w:rsidR="00977BE0" w:rsidRPr="00576D0F" w14:paraId="35CBCEA0" w14:textId="77777777" w:rsidTr="00977BE0">
        <w:tc>
          <w:tcPr>
            <w:tcW w:w="2880" w:type="dxa"/>
            <w:tcBorders>
              <w:top w:val="single" w:sz="4" w:space="0" w:color="auto"/>
              <w:left w:val="single" w:sz="4" w:space="0" w:color="auto"/>
              <w:bottom w:val="single" w:sz="4" w:space="0" w:color="auto"/>
              <w:right w:val="single" w:sz="4" w:space="0" w:color="auto"/>
            </w:tcBorders>
            <w:vAlign w:val="center"/>
          </w:tcPr>
          <w:p w14:paraId="40458F4B" w14:textId="77777777" w:rsidR="00977BE0" w:rsidRPr="00576D0F" w:rsidRDefault="00977BE0" w:rsidP="007B1724">
            <w:pPr>
              <w:jc w:val="both"/>
              <w:rPr>
                <w:rFonts w:cs="Arial"/>
                <w:szCs w:val="20"/>
              </w:rPr>
            </w:pPr>
            <w:r w:rsidRPr="00576D0F">
              <w:rPr>
                <w:rFonts w:cs="Arial"/>
                <w:szCs w:val="20"/>
              </w:rPr>
              <w:t>VYNDAMAX 61 MG CAP</w:t>
            </w:r>
          </w:p>
        </w:tc>
        <w:tc>
          <w:tcPr>
            <w:tcW w:w="3240" w:type="dxa"/>
            <w:tcBorders>
              <w:top w:val="single" w:sz="4" w:space="0" w:color="auto"/>
              <w:left w:val="single" w:sz="4" w:space="0" w:color="auto"/>
              <w:bottom w:val="single" w:sz="4" w:space="0" w:color="auto"/>
              <w:right w:val="single" w:sz="4" w:space="0" w:color="auto"/>
            </w:tcBorders>
            <w:vAlign w:val="center"/>
          </w:tcPr>
          <w:p w14:paraId="4796FD6C" w14:textId="77777777" w:rsidR="00977BE0" w:rsidRPr="00576D0F" w:rsidRDefault="00977BE0" w:rsidP="007B1724">
            <w:pPr>
              <w:rPr>
                <w:rFonts w:cs="Arial"/>
                <w:szCs w:val="20"/>
              </w:rPr>
            </w:pPr>
            <w:r w:rsidRPr="00576D0F">
              <w:rPr>
                <w:rFonts w:cs="Arial"/>
                <w:szCs w:val="20"/>
              </w:rPr>
              <w:t>TAFAMIDIS</w:t>
            </w:r>
          </w:p>
        </w:tc>
        <w:tc>
          <w:tcPr>
            <w:tcW w:w="2970" w:type="dxa"/>
            <w:tcBorders>
              <w:top w:val="single" w:sz="4" w:space="0" w:color="auto"/>
              <w:left w:val="single" w:sz="4" w:space="0" w:color="auto"/>
              <w:bottom w:val="single" w:sz="4" w:space="0" w:color="auto"/>
              <w:right w:val="single" w:sz="4" w:space="0" w:color="auto"/>
            </w:tcBorders>
          </w:tcPr>
          <w:p w14:paraId="0684F586" w14:textId="77777777" w:rsidR="00977BE0" w:rsidRPr="00576D0F" w:rsidRDefault="00977BE0" w:rsidP="007B1724">
            <w:pPr>
              <w:rPr>
                <w:rFonts w:cs="Arial"/>
                <w:caps/>
                <w:szCs w:val="20"/>
              </w:rPr>
            </w:pPr>
            <w:r w:rsidRPr="00576D0F">
              <w:rPr>
                <w:rFonts w:cs="Arial"/>
                <w:caps/>
                <w:szCs w:val="20"/>
              </w:rPr>
              <w:t>1 CAPSULE PER DAY</w:t>
            </w:r>
          </w:p>
        </w:tc>
      </w:tr>
      <w:tr w:rsidR="00977BE0" w:rsidRPr="00576D0F" w14:paraId="66800A4A" w14:textId="77777777" w:rsidTr="00977BE0">
        <w:tc>
          <w:tcPr>
            <w:tcW w:w="2880" w:type="dxa"/>
            <w:tcBorders>
              <w:top w:val="single" w:sz="4" w:space="0" w:color="auto"/>
              <w:left w:val="single" w:sz="4" w:space="0" w:color="auto"/>
              <w:bottom w:val="single" w:sz="4" w:space="0" w:color="auto"/>
              <w:right w:val="single" w:sz="4" w:space="0" w:color="auto"/>
            </w:tcBorders>
            <w:vAlign w:val="center"/>
          </w:tcPr>
          <w:p w14:paraId="66C2ABC3" w14:textId="77777777" w:rsidR="00977BE0" w:rsidRPr="00FE5FF1" w:rsidRDefault="00977BE0" w:rsidP="007B1724">
            <w:pPr>
              <w:jc w:val="both"/>
              <w:rPr>
                <w:rFonts w:cs="Arial"/>
                <w:b/>
                <w:bCs/>
                <w:strike/>
                <w:color w:val="1F497D" w:themeColor="text2"/>
                <w:szCs w:val="20"/>
              </w:rPr>
            </w:pPr>
            <w:r w:rsidRPr="00FE5FF1">
              <w:rPr>
                <w:rFonts w:cs="Arial"/>
                <w:b/>
                <w:bCs/>
                <w:strike/>
                <w:color w:val="1F497D" w:themeColor="text2"/>
                <w:szCs w:val="20"/>
              </w:rPr>
              <w:t>VYNDAQEL 20 MG CAP</w:t>
            </w:r>
          </w:p>
        </w:tc>
        <w:tc>
          <w:tcPr>
            <w:tcW w:w="3240" w:type="dxa"/>
            <w:tcBorders>
              <w:top w:val="single" w:sz="4" w:space="0" w:color="auto"/>
              <w:left w:val="single" w:sz="4" w:space="0" w:color="auto"/>
              <w:bottom w:val="single" w:sz="4" w:space="0" w:color="auto"/>
              <w:right w:val="single" w:sz="4" w:space="0" w:color="auto"/>
            </w:tcBorders>
            <w:vAlign w:val="center"/>
          </w:tcPr>
          <w:p w14:paraId="5544374C" w14:textId="77777777" w:rsidR="00977BE0" w:rsidRPr="00FE5FF1" w:rsidRDefault="00977BE0" w:rsidP="007B1724">
            <w:pPr>
              <w:rPr>
                <w:rFonts w:cs="Arial"/>
                <w:b/>
                <w:bCs/>
                <w:strike/>
                <w:color w:val="1F497D" w:themeColor="text2"/>
                <w:szCs w:val="20"/>
              </w:rPr>
            </w:pPr>
            <w:r w:rsidRPr="00FE5FF1">
              <w:rPr>
                <w:rFonts w:cs="Arial"/>
                <w:b/>
                <w:bCs/>
                <w:strike/>
                <w:color w:val="1F497D" w:themeColor="text2"/>
                <w:szCs w:val="20"/>
              </w:rPr>
              <w:t>TAFAMIDIS MEGLUMINE</w:t>
            </w:r>
          </w:p>
        </w:tc>
        <w:tc>
          <w:tcPr>
            <w:tcW w:w="2970" w:type="dxa"/>
            <w:tcBorders>
              <w:top w:val="single" w:sz="4" w:space="0" w:color="auto"/>
              <w:left w:val="single" w:sz="4" w:space="0" w:color="auto"/>
              <w:bottom w:val="single" w:sz="4" w:space="0" w:color="auto"/>
              <w:right w:val="single" w:sz="4" w:space="0" w:color="auto"/>
            </w:tcBorders>
          </w:tcPr>
          <w:p w14:paraId="350A482F" w14:textId="77777777" w:rsidR="00977BE0" w:rsidRPr="00FE5FF1" w:rsidRDefault="00977BE0" w:rsidP="007B1724">
            <w:pPr>
              <w:rPr>
                <w:rFonts w:cs="Arial"/>
                <w:b/>
                <w:bCs/>
                <w:caps/>
                <w:strike/>
                <w:color w:val="1F497D" w:themeColor="text2"/>
                <w:szCs w:val="20"/>
              </w:rPr>
            </w:pPr>
            <w:r w:rsidRPr="00FE5FF1">
              <w:rPr>
                <w:rFonts w:cs="Arial"/>
                <w:b/>
                <w:bCs/>
                <w:caps/>
                <w:strike/>
                <w:color w:val="1F497D" w:themeColor="text2"/>
                <w:szCs w:val="20"/>
              </w:rPr>
              <w:t>4 CAPSULES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1DFE5323" w14:textId="77777777" w:rsidR="009130A7" w:rsidRPr="004E3570" w:rsidRDefault="00343D6B" w:rsidP="009130A7">
      <w:pPr>
        <w:rPr>
          <w:rFonts w:cs="Arial"/>
          <w:szCs w:val="20"/>
        </w:rPr>
      </w:pPr>
      <w:r w:rsidRPr="00696E3A">
        <w:rPr>
          <w:b/>
          <w:bCs/>
        </w:rPr>
        <w:t>Default Approval Period:</w:t>
      </w:r>
      <w:r w:rsidR="00973BD6">
        <w:t xml:space="preserve"> </w:t>
      </w:r>
      <w:r w:rsidR="009130A7">
        <w:rPr>
          <w:rFonts w:cs="Arial"/>
          <w:szCs w:val="20"/>
        </w:rPr>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17AEA9A9" w14:textId="77777777" w:rsidR="003C1AFF" w:rsidRDefault="003C1AFF" w:rsidP="003C1AFF">
      <w:pPr>
        <w:pStyle w:val="ListParagraph"/>
      </w:pPr>
      <w:r>
        <w:t>Evidence-Based Medicine and Fiscal Analysis: “Transthyretin Amyloidosis Agents – Therapeutic Class Review”, Gainwell Technologies; last updated July 22, 2024.</w:t>
      </w:r>
    </w:p>
    <w:p w14:paraId="22AF7EAE" w14:textId="0AF9D485" w:rsidR="003C1AFF" w:rsidRDefault="003C1AFF" w:rsidP="003C1AFF">
      <w:pPr>
        <w:pStyle w:val="ListParagraph"/>
      </w:pPr>
      <w:r>
        <w:t>Evidence-Based Medicine Analysis: “Transthyretin Amyloidosis Agents”, UMKC-DIC; Ju</w:t>
      </w:r>
      <w:r w:rsidR="00965F81">
        <w:t>ly</w:t>
      </w:r>
      <w:r>
        <w:t xml:space="preserve"> 202</w:t>
      </w:r>
      <w:r w:rsidR="00965F81">
        <w:t>6</w:t>
      </w:r>
      <w:r>
        <w:t>.</w:t>
      </w:r>
    </w:p>
    <w:p w14:paraId="419B9B39" w14:textId="77777777" w:rsidR="003C1AFF" w:rsidRDefault="003C1AFF" w:rsidP="003C1AFF">
      <w:pPr>
        <w:pStyle w:val="ListParagraph"/>
      </w:pPr>
      <w:r>
        <w:t>Onpattro (patisiran) [prescribing information]. Cambridge, MA: Alnylam Pharmaceuticals, Inc; January 2023.</w:t>
      </w:r>
    </w:p>
    <w:p w14:paraId="288031DA" w14:textId="77777777" w:rsidR="003C1AFF" w:rsidRDefault="003C1AFF" w:rsidP="003C1AFF">
      <w:pPr>
        <w:pStyle w:val="ListParagraph"/>
      </w:pPr>
      <w:r>
        <w:t>Vyndaqel/Vyndamax (tafamidis) [package insert]. New York, NY: Pfizer Labs; October 2023.</w:t>
      </w:r>
    </w:p>
    <w:p w14:paraId="59054260" w14:textId="77777777" w:rsidR="003C1AFF" w:rsidRDefault="003C1AFF" w:rsidP="003C1AFF">
      <w:pPr>
        <w:pStyle w:val="ListParagraph"/>
      </w:pPr>
      <w:r>
        <w:t xml:space="preserve">Amvuttra (vutrisiran) [prescribing information]. Cambridge, MA: Alnylam Pharmaceuticals, Inc.; March 2025. </w:t>
      </w:r>
    </w:p>
    <w:p w14:paraId="39D02FF9" w14:textId="77777777" w:rsidR="003C1AFF" w:rsidRDefault="003C1AFF" w:rsidP="003C1AFF">
      <w:pPr>
        <w:pStyle w:val="ListParagraph"/>
      </w:pPr>
      <w:r>
        <w:t>Attruby (acoramidis) [prescribing information]. Palo Alto, CA: BridgeBio Pharma, Inc.; November 2024.</w:t>
      </w:r>
    </w:p>
    <w:p w14:paraId="02CD27CC" w14:textId="77777777" w:rsidR="003C1AFF" w:rsidRDefault="003C1AFF" w:rsidP="003C1AFF">
      <w:pPr>
        <w:pStyle w:val="ListParagraph"/>
      </w:pPr>
      <w:r>
        <w:t>Amyloidosis Foundation. Amyloidosis Facts. https://amyloidosis.org/facts/.  Accessed August 23, 2023.</w:t>
      </w:r>
    </w:p>
    <w:p w14:paraId="137C6367" w14:textId="77777777" w:rsidR="003C1AFF" w:rsidRDefault="003C1AFF" w:rsidP="003C1AFF">
      <w:pPr>
        <w:pStyle w:val="ListParagraph"/>
      </w:pPr>
      <w:r>
        <w:t>Gertz M, Adams D, Ando Y, Beirão JM, Bokhari S, Coelho T, Comenzo RL, Damy T, Dorbala S, Drachman BM, Fontana M, Gillmore JD, Grogan M, Hawkins PN, Lousada I, Kristen AV, Ruberg FL, Suhr OB, Maurer MS, Nativi-Nicolau J, Quarta CC, Rapezzi C, Witteles R, Merlini G. Avoiding misdiagnosis: expert consensus recommendations for the suspicion and diagnosis of transthyretin amyloidosis for the general practitioner. BMC Fam Pract. 2020 Sep 23;21(1):198. doi: 10.1186/s12875-020-01252-4. PMID: 32967612; PMCID: PMC7513485.</w:t>
      </w:r>
    </w:p>
    <w:p w14:paraId="25FE12EE" w14:textId="77777777" w:rsidR="003C1AFF" w:rsidRDefault="003C1AFF" w:rsidP="003C1AFF">
      <w:pPr>
        <w:pStyle w:val="ListParagraph"/>
      </w:pPr>
      <w:r>
        <w:t>Maurer MS, Bokhari S, Damy T, Dorbala S, Drachman BM, Fontana M, Grogan M, Kristen AV, Lousada I, Nativi-Nicolau J, Cristina Quarta C, Rapezzi C, Ruberg FL, Witteles R, Merlini G. Expert Consensus Recommendations for the Suspicion and Diagnosis of Transthyretin Cardiac Amyloidosis. Circ Heart Fail. 2019 Sep;12(9):e006075. doi: 10.1161/CIRCHEARTFAILURE.119.006075. Epub 2019 Sep 4. PMID: 31480867; PMCID: PMC6736650.</w:t>
      </w:r>
    </w:p>
    <w:p w14:paraId="1F28FAE5" w14:textId="77777777" w:rsidR="003C1AFF" w:rsidRDefault="003C1AFF" w:rsidP="003C1AFF">
      <w:pPr>
        <w:pStyle w:val="ListParagraph"/>
      </w:pPr>
      <w:r>
        <w:t>IPD Analytics. New Drug Approval: Onpattro (patisiran). August 2018.</w:t>
      </w:r>
    </w:p>
    <w:p w14:paraId="37D57EA6" w14:textId="77777777" w:rsidR="003C1AFF" w:rsidRDefault="003C1AFF" w:rsidP="003C1AFF">
      <w:pPr>
        <w:pStyle w:val="ListParagraph"/>
      </w:pPr>
      <w:r>
        <w:t>IPD Analytics. New Drug Approval: Vyndamax and Vyndaqel. May 2019.</w:t>
      </w:r>
    </w:p>
    <w:p w14:paraId="14688698" w14:textId="77777777" w:rsidR="003C1AFF" w:rsidRDefault="003C1AFF" w:rsidP="003C1AFF">
      <w:pPr>
        <w:pStyle w:val="ListParagraph"/>
      </w:pPr>
      <w:r>
        <w:t xml:space="preserve">IPD Analytics. New Drug Review: Amvuttra (vutrisiran). April 2025. </w:t>
      </w:r>
    </w:p>
    <w:p w14:paraId="090028FF" w14:textId="77777777" w:rsidR="003C1AFF" w:rsidRDefault="003C1AFF" w:rsidP="003C1AFF">
      <w:pPr>
        <w:pStyle w:val="ListParagraph"/>
      </w:pPr>
      <w:r>
        <w:t xml:space="preserve">IPD Analytics. New Drug Review: Attruby (acoramidis). December 2025. </w:t>
      </w:r>
    </w:p>
    <w:p w14:paraId="663185D1" w14:textId="77777777" w:rsidR="003C1AFF" w:rsidRDefault="003C1AFF" w:rsidP="003C1AFF">
      <w:pPr>
        <w:pStyle w:val="ListParagraph"/>
      </w:pPr>
      <w:r>
        <w:t>IPD Analytics. Executive Edge: Transthyretin-Mediated Amyloidosis. Accessed April 8, 2025.</w:t>
      </w:r>
    </w:p>
    <w:p w14:paraId="14E79232" w14:textId="77777777" w:rsidR="003C1AFF" w:rsidRDefault="003C1AFF" w:rsidP="003C1AFF">
      <w:pPr>
        <w:pStyle w:val="ListParagraph"/>
      </w:pPr>
      <w:r>
        <w:t>Michelle M. Kittleson, Frederick L. Ruberg, Amrut V. Ambardekar, Thomas H. Brannagan, Richard K. Cheng, John O. Clarke, Laura M. Dember, Janell Grazzini Frantz, Ray E. Hershberger, Mathew S. Maurer, Jose Nativi-Nicolau, Vaishali Sanchorawala, Farooq H. Sheikh, 2023 ACC Expert Consensus Decision Pathway on Comprehensive Multidisciplinary Care for the Patient With Cardiac Amyloidosis: A Report of the American College of Cardiology Solution Set Oversight Committee, Journal of the American College of Cardiology, Volume 81, Issue 11, 2023, Pages 1076-1126, ISSN 0735-1097.</w:t>
      </w:r>
    </w:p>
    <w:p w14:paraId="3FA1E7DB" w14:textId="4A66B33F" w:rsidR="00777CA4" w:rsidRDefault="003C1AFF" w:rsidP="003C1AFF">
      <w:pPr>
        <w:pStyle w:val="ListParagraph"/>
      </w:pPr>
      <w:r>
        <w:t>Institute for Clinical and Economic Review, 2024. Final Evidence Report – Disease Modifying Therapies for ATTR-CM. Published October 21, 2024.</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B9170" w14:textId="77777777" w:rsidR="00A03F43" w:rsidRPr="00C02553" w:rsidRDefault="00A03F43" w:rsidP="00AE77DB">
      <w:r w:rsidRPr="00C02553">
        <w:separator/>
      </w:r>
    </w:p>
  </w:endnote>
  <w:endnote w:type="continuationSeparator" w:id="0">
    <w:p w14:paraId="3DD17617" w14:textId="77777777" w:rsidR="00A03F43" w:rsidRPr="00C02553" w:rsidRDefault="00A03F43" w:rsidP="00AE77DB">
      <w:r w:rsidRPr="00C02553">
        <w:continuationSeparator/>
      </w:r>
    </w:p>
  </w:endnote>
  <w:endnote w:type="continuationNotice" w:id="1">
    <w:p w14:paraId="1068EE08" w14:textId="77777777" w:rsidR="00A03F43" w:rsidRPr="00C02553" w:rsidRDefault="00A03F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7BCED" w14:textId="77777777" w:rsidR="00A03F43" w:rsidRPr="00C02553" w:rsidRDefault="00A03F43" w:rsidP="00AE77DB">
      <w:r w:rsidRPr="00C02553">
        <w:separator/>
      </w:r>
    </w:p>
  </w:footnote>
  <w:footnote w:type="continuationSeparator" w:id="0">
    <w:p w14:paraId="379EA714" w14:textId="77777777" w:rsidR="00A03F43" w:rsidRPr="00C02553" w:rsidRDefault="00A03F43" w:rsidP="00AE77DB">
      <w:r w:rsidRPr="00C02553">
        <w:continuationSeparator/>
      </w:r>
    </w:p>
  </w:footnote>
  <w:footnote w:type="continuationNotice" w:id="1">
    <w:p w14:paraId="2F85F5C0" w14:textId="77777777" w:rsidR="00A03F43" w:rsidRPr="00C02553" w:rsidRDefault="00A03F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D29C817" w:rsidR="00006A61" w:rsidRPr="00C02553" w:rsidRDefault="002270C9">
    <w:pPr>
      <w:pStyle w:val="Header"/>
      <w:framePr w:wrap="around" w:vAnchor="text" w:hAnchor="margin" w:xAlign="right" w:y="1"/>
      <w:rPr>
        <w:rStyle w:val="PageNumber"/>
        <w:rFonts w:ascii="Times New Roman" w:hAnsi="Times New Roman"/>
      </w:rPr>
    </w:pPr>
    <w:r>
      <w:rPr>
        <w:noProof/>
      </w:rPr>
      <w:pict w14:anchorId="3A0AD8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525344"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E27F9D1" w:rsidR="00596936" w:rsidRDefault="002270C9">
    <w:pPr>
      <w:pStyle w:val="Header"/>
    </w:pPr>
    <w:r>
      <w:rPr>
        <w:noProof/>
      </w:rPr>
      <w:pict w14:anchorId="0B343D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525345"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CE5B062" w:rsidR="00006A61" w:rsidRPr="00C02553" w:rsidRDefault="002270C9">
    <w:pPr>
      <w:pStyle w:val="Header"/>
      <w:rPr>
        <w:rFonts w:ascii="Times New Roman" w:hAnsi="Times New Roman"/>
      </w:rPr>
    </w:pPr>
    <w:r>
      <w:rPr>
        <w:noProof/>
      </w:rPr>
      <w:pict w14:anchorId="301EE9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525343"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B295CD5"/>
    <w:multiLevelType w:val="hybridMultilevel"/>
    <w:tmpl w:val="362811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366199"/>
    <w:multiLevelType w:val="hybridMultilevel"/>
    <w:tmpl w:val="DEEA5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A926C8"/>
    <w:multiLevelType w:val="hybridMultilevel"/>
    <w:tmpl w:val="FD80CBD8"/>
    <w:lvl w:ilvl="0" w:tplc="D00E3B96">
      <w:start w:val="1"/>
      <w:numFmt w:val="bullet"/>
      <w:lvlText w:val=""/>
      <w:lvlJc w:val="left"/>
      <w:pPr>
        <w:ind w:left="720" w:hanging="360"/>
      </w:pPr>
      <w:rPr>
        <w:rFonts w:ascii="Symbol" w:hAnsi="Symbol"/>
      </w:rPr>
    </w:lvl>
    <w:lvl w:ilvl="1" w:tplc="5B0A026A">
      <w:start w:val="1"/>
      <w:numFmt w:val="bullet"/>
      <w:lvlText w:val=""/>
      <w:lvlJc w:val="left"/>
      <w:pPr>
        <w:ind w:left="720" w:hanging="360"/>
      </w:pPr>
      <w:rPr>
        <w:rFonts w:ascii="Symbol" w:hAnsi="Symbol"/>
      </w:rPr>
    </w:lvl>
    <w:lvl w:ilvl="2" w:tplc="DC58B4B4">
      <w:start w:val="1"/>
      <w:numFmt w:val="bullet"/>
      <w:lvlText w:val=""/>
      <w:lvlJc w:val="left"/>
      <w:pPr>
        <w:ind w:left="720" w:hanging="360"/>
      </w:pPr>
      <w:rPr>
        <w:rFonts w:ascii="Symbol" w:hAnsi="Symbol"/>
      </w:rPr>
    </w:lvl>
    <w:lvl w:ilvl="3" w:tplc="0AB2B76E">
      <w:start w:val="1"/>
      <w:numFmt w:val="bullet"/>
      <w:lvlText w:val=""/>
      <w:lvlJc w:val="left"/>
      <w:pPr>
        <w:ind w:left="720" w:hanging="360"/>
      </w:pPr>
      <w:rPr>
        <w:rFonts w:ascii="Symbol" w:hAnsi="Symbol"/>
      </w:rPr>
    </w:lvl>
    <w:lvl w:ilvl="4" w:tplc="9F1A1F34">
      <w:start w:val="1"/>
      <w:numFmt w:val="bullet"/>
      <w:lvlText w:val=""/>
      <w:lvlJc w:val="left"/>
      <w:pPr>
        <w:ind w:left="720" w:hanging="360"/>
      </w:pPr>
      <w:rPr>
        <w:rFonts w:ascii="Symbol" w:hAnsi="Symbol"/>
      </w:rPr>
    </w:lvl>
    <w:lvl w:ilvl="5" w:tplc="81BA19F0">
      <w:start w:val="1"/>
      <w:numFmt w:val="bullet"/>
      <w:lvlText w:val=""/>
      <w:lvlJc w:val="left"/>
      <w:pPr>
        <w:ind w:left="720" w:hanging="360"/>
      </w:pPr>
      <w:rPr>
        <w:rFonts w:ascii="Symbol" w:hAnsi="Symbol"/>
      </w:rPr>
    </w:lvl>
    <w:lvl w:ilvl="6" w:tplc="754433A6">
      <w:start w:val="1"/>
      <w:numFmt w:val="bullet"/>
      <w:lvlText w:val=""/>
      <w:lvlJc w:val="left"/>
      <w:pPr>
        <w:ind w:left="720" w:hanging="360"/>
      </w:pPr>
      <w:rPr>
        <w:rFonts w:ascii="Symbol" w:hAnsi="Symbol"/>
      </w:rPr>
    </w:lvl>
    <w:lvl w:ilvl="7" w:tplc="B37067F4">
      <w:start w:val="1"/>
      <w:numFmt w:val="bullet"/>
      <w:lvlText w:val=""/>
      <w:lvlJc w:val="left"/>
      <w:pPr>
        <w:ind w:left="720" w:hanging="360"/>
      </w:pPr>
      <w:rPr>
        <w:rFonts w:ascii="Symbol" w:hAnsi="Symbol"/>
      </w:rPr>
    </w:lvl>
    <w:lvl w:ilvl="8" w:tplc="99223288">
      <w:start w:val="1"/>
      <w:numFmt w:val="bullet"/>
      <w:lvlText w:val=""/>
      <w:lvlJc w:val="left"/>
      <w:pPr>
        <w:ind w:left="720" w:hanging="360"/>
      </w:pPr>
      <w:rPr>
        <w:rFonts w:ascii="Symbol" w:hAnsi="Symbol"/>
      </w:rPr>
    </w:lvl>
  </w:abstractNum>
  <w:abstractNum w:abstractNumId="13" w15:restartNumberingAfterBreak="0">
    <w:nsid w:val="36C901B1"/>
    <w:multiLevelType w:val="hybridMultilevel"/>
    <w:tmpl w:val="280493A6"/>
    <w:lvl w:ilvl="0" w:tplc="D140FA72">
      <w:start w:val="1"/>
      <w:numFmt w:val="bullet"/>
      <w:lvlText w:val=""/>
      <w:lvlJc w:val="left"/>
      <w:pPr>
        <w:ind w:left="720" w:hanging="360"/>
      </w:pPr>
      <w:rPr>
        <w:rFonts w:ascii="Symbol" w:hAnsi="Symbol"/>
      </w:rPr>
    </w:lvl>
    <w:lvl w:ilvl="1" w:tplc="B05C6220">
      <w:start w:val="1"/>
      <w:numFmt w:val="bullet"/>
      <w:lvlText w:val=""/>
      <w:lvlJc w:val="left"/>
      <w:pPr>
        <w:ind w:left="720" w:hanging="360"/>
      </w:pPr>
      <w:rPr>
        <w:rFonts w:ascii="Symbol" w:hAnsi="Symbol"/>
      </w:rPr>
    </w:lvl>
    <w:lvl w:ilvl="2" w:tplc="F04050AC">
      <w:start w:val="1"/>
      <w:numFmt w:val="bullet"/>
      <w:lvlText w:val=""/>
      <w:lvlJc w:val="left"/>
      <w:pPr>
        <w:ind w:left="720" w:hanging="360"/>
      </w:pPr>
      <w:rPr>
        <w:rFonts w:ascii="Symbol" w:hAnsi="Symbol"/>
      </w:rPr>
    </w:lvl>
    <w:lvl w:ilvl="3" w:tplc="4B800042">
      <w:start w:val="1"/>
      <w:numFmt w:val="bullet"/>
      <w:lvlText w:val=""/>
      <w:lvlJc w:val="left"/>
      <w:pPr>
        <w:ind w:left="720" w:hanging="360"/>
      </w:pPr>
      <w:rPr>
        <w:rFonts w:ascii="Symbol" w:hAnsi="Symbol"/>
      </w:rPr>
    </w:lvl>
    <w:lvl w:ilvl="4" w:tplc="34062E4A">
      <w:start w:val="1"/>
      <w:numFmt w:val="bullet"/>
      <w:lvlText w:val=""/>
      <w:lvlJc w:val="left"/>
      <w:pPr>
        <w:ind w:left="720" w:hanging="360"/>
      </w:pPr>
      <w:rPr>
        <w:rFonts w:ascii="Symbol" w:hAnsi="Symbol"/>
      </w:rPr>
    </w:lvl>
    <w:lvl w:ilvl="5" w:tplc="2CFAF2C8">
      <w:start w:val="1"/>
      <w:numFmt w:val="bullet"/>
      <w:lvlText w:val=""/>
      <w:lvlJc w:val="left"/>
      <w:pPr>
        <w:ind w:left="720" w:hanging="360"/>
      </w:pPr>
      <w:rPr>
        <w:rFonts w:ascii="Symbol" w:hAnsi="Symbol"/>
      </w:rPr>
    </w:lvl>
    <w:lvl w:ilvl="6" w:tplc="9F983750">
      <w:start w:val="1"/>
      <w:numFmt w:val="bullet"/>
      <w:lvlText w:val=""/>
      <w:lvlJc w:val="left"/>
      <w:pPr>
        <w:ind w:left="720" w:hanging="360"/>
      </w:pPr>
      <w:rPr>
        <w:rFonts w:ascii="Symbol" w:hAnsi="Symbol"/>
      </w:rPr>
    </w:lvl>
    <w:lvl w:ilvl="7" w:tplc="7BF633DC">
      <w:start w:val="1"/>
      <w:numFmt w:val="bullet"/>
      <w:lvlText w:val=""/>
      <w:lvlJc w:val="left"/>
      <w:pPr>
        <w:ind w:left="720" w:hanging="360"/>
      </w:pPr>
      <w:rPr>
        <w:rFonts w:ascii="Symbol" w:hAnsi="Symbol"/>
      </w:rPr>
    </w:lvl>
    <w:lvl w:ilvl="8" w:tplc="D9820870">
      <w:start w:val="1"/>
      <w:numFmt w:val="bullet"/>
      <w:lvlText w:val=""/>
      <w:lvlJc w:val="left"/>
      <w:pPr>
        <w:ind w:left="720" w:hanging="360"/>
      </w:pPr>
      <w:rPr>
        <w:rFonts w:ascii="Symbol" w:hAnsi="Symbol"/>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2463218"/>
    <w:multiLevelType w:val="hybridMultilevel"/>
    <w:tmpl w:val="2918E87C"/>
    <w:lvl w:ilvl="0" w:tplc="04090001">
      <w:start w:val="1"/>
      <w:numFmt w:val="bullet"/>
      <w:lvlText w:val=""/>
      <w:lvlJc w:val="left"/>
      <w:pPr>
        <w:ind w:left="360" w:hanging="360"/>
      </w:pPr>
      <w:rPr>
        <w:rFonts w:ascii="Symbol" w:hAnsi="Symbol" w:hint="default"/>
      </w:rPr>
    </w:lvl>
    <w:lvl w:ilvl="1" w:tplc="949E1BCC">
      <w:start w:val="1"/>
      <w:numFmt w:val="bullet"/>
      <w:lvlText w:val="o"/>
      <w:lvlJc w:val="left"/>
      <w:pPr>
        <w:ind w:left="1080" w:hanging="360"/>
      </w:pPr>
      <w:rPr>
        <w:rFonts w:ascii="Courier New" w:hAnsi="Courier New" w:cs="Courier New" w:hint="default"/>
        <w:color w:val="auto"/>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4"/>
  </w:num>
  <w:num w:numId="10" w16cid:durableId="917518096">
    <w:abstractNumId w:val="10"/>
  </w:num>
  <w:num w:numId="11" w16cid:durableId="1894998475">
    <w:abstractNumId w:val="1"/>
  </w:num>
  <w:num w:numId="12" w16cid:durableId="1418215296">
    <w:abstractNumId w:val="17"/>
  </w:num>
  <w:num w:numId="13" w16cid:durableId="604729665">
    <w:abstractNumId w:val="6"/>
  </w:num>
  <w:num w:numId="14" w16cid:durableId="1805081292">
    <w:abstractNumId w:val="15"/>
  </w:num>
  <w:num w:numId="15" w16cid:durableId="723600171">
    <w:abstractNumId w:val="11"/>
  </w:num>
  <w:num w:numId="16" w16cid:durableId="1554199876">
    <w:abstractNumId w:val="18"/>
  </w:num>
  <w:num w:numId="17" w16cid:durableId="756556962">
    <w:abstractNumId w:val="8"/>
  </w:num>
  <w:num w:numId="18" w16cid:durableId="1442141866">
    <w:abstractNumId w:val="5"/>
  </w:num>
  <w:num w:numId="19" w16cid:durableId="1760710007">
    <w:abstractNumId w:val="20"/>
  </w:num>
  <w:num w:numId="20" w16cid:durableId="126944722">
    <w:abstractNumId w:val="12"/>
  </w:num>
  <w:num w:numId="21" w16cid:durableId="37593691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BdSTd6HNCJLXWlDYL1pjEMOLkvoukmx190wOzXn77Sh1q3/iCRvTPMxFN+cO6cpqc8moj8Erdnp/Z9s/eHE3mg==" w:salt="JrsNM5rXwtlRLktIETL6S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3CB2"/>
    <w:rsid w:val="000276D9"/>
    <w:rsid w:val="000328FD"/>
    <w:rsid w:val="00040AD3"/>
    <w:rsid w:val="00053807"/>
    <w:rsid w:val="000554D8"/>
    <w:rsid w:val="000572E5"/>
    <w:rsid w:val="00061541"/>
    <w:rsid w:val="00064162"/>
    <w:rsid w:val="00065C22"/>
    <w:rsid w:val="00074464"/>
    <w:rsid w:val="00076030"/>
    <w:rsid w:val="00082590"/>
    <w:rsid w:val="0009061E"/>
    <w:rsid w:val="000913C3"/>
    <w:rsid w:val="000953B9"/>
    <w:rsid w:val="000A413B"/>
    <w:rsid w:val="000A6279"/>
    <w:rsid w:val="000A7C87"/>
    <w:rsid w:val="000B496B"/>
    <w:rsid w:val="000C3940"/>
    <w:rsid w:val="000C5992"/>
    <w:rsid w:val="000D1D72"/>
    <w:rsid w:val="000E1479"/>
    <w:rsid w:val="000E1794"/>
    <w:rsid w:val="000E231E"/>
    <w:rsid w:val="000E247D"/>
    <w:rsid w:val="000E6B14"/>
    <w:rsid w:val="000E70D8"/>
    <w:rsid w:val="00100E10"/>
    <w:rsid w:val="001051DE"/>
    <w:rsid w:val="001062F6"/>
    <w:rsid w:val="00112FC7"/>
    <w:rsid w:val="00125F5F"/>
    <w:rsid w:val="00126951"/>
    <w:rsid w:val="00126B60"/>
    <w:rsid w:val="00127EF6"/>
    <w:rsid w:val="001310AD"/>
    <w:rsid w:val="001314A5"/>
    <w:rsid w:val="00132C7F"/>
    <w:rsid w:val="00144C57"/>
    <w:rsid w:val="00144DBE"/>
    <w:rsid w:val="00152C8B"/>
    <w:rsid w:val="0015636A"/>
    <w:rsid w:val="001658FA"/>
    <w:rsid w:val="00172053"/>
    <w:rsid w:val="00177A80"/>
    <w:rsid w:val="0018679E"/>
    <w:rsid w:val="001A275F"/>
    <w:rsid w:val="001A50CB"/>
    <w:rsid w:val="001A74B7"/>
    <w:rsid w:val="001B2D47"/>
    <w:rsid w:val="001C0250"/>
    <w:rsid w:val="001C6DA4"/>
    <w:rsid w:val="001C73B1"/>
    <w:rsid w:val="001D1E7D"/>
    <w:rsid w:val="001D6567"/>
    <w:rsid w:val="001E2CCB"/>
    <w:rsid w:val="001E4CBA"/>
    <w:rsid w:val="001E523C"/>
    <w:rsid w:val="001E61DF"/>
    <w:rsid w:val="001F253F"/>
    <w:rsid w:val="001F2B9F"/>
    <w:rsid w:val="001F5954"/>
    <w:rsid w:val="00202DD3"/>
    <w:rsid w:val="00206E7D"/>
    <w:rsid w:val="00217E14"/>
    <w:rsid w:val="00217EFD"/>
    <w:rsid w:val="00222134"/>
    <w:rsid w:val="0022233F"/>
    <w:rsid w:val="00226275"/>
    <w:rsid w:val="002270C9"/>
    <w:rsid w:val="002426DE"/>
    <w:rsid w:val="00246564"/>
    <w:rsid w:val="00246A3B"/>
    <w:rsid w:val="00255404"/>
    <w:rsid w:val="0025594F"/>
    <w:rsid w:val="00263090"/>
    <w:rsid w:val="00264CBB"/>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301E"/>
    <w:rsid w:val="003878C1"/>
    <w:rsid w:val="00396C0B"/>
    <w:rsid w:val="003A630F"/>
    <w:rsid w:val="003B3958"/>
    <w:rsid w:val="003B3A10"/>
    <w:rsid w:val="003B4820"/>
    <w:rsid w:val="003B5F4B"/>
    <w:rsid w:val="003B682F"/>
    <w:rsid w:val="003C03D8"/>
    <w:rsid w:val="003C1AFF"/>
    <w:rsid w:val="003C53FC"/>
    <w:rsid w:val="003C7013"/>
    <w:rsid w:val="003D641B"/>
    <w:rsid w:val="003E48EC"/>
    <w:rsid w:val="003F1303"/>
    <w:rsid w:val="003F227C"/>
    <w:rsid w:val="003F6981"/>
    <w:rsid w:val="004023CC"/>
    <w:rsid w:val="00406081"/>
    <w:rsid w:val="00407564"/>
    <w:rsid w:val="00411152"/>
    <w:rsid w:val="004156AA"/>
    <w:rsid w:val="004253A1"/>
    <w:rsid w:val="004313B6"/>
    <w:rsid w:val="00433339"/>
    <w:rsid w:val="00446BBC"/>
    <w:rsid w:val="004472C0"/>
    <w:rsid w:val="00450705"/>
    <w:rsid w:val="00451928"/>
    <w:rsid w:val="0046618B"/>
    <w:rsid w:val="004723EA"/>
    <w:rsid w:val="0048608C"/>
    <w:rsid w:val="00496E57"/>
    <w:rsid w:val="004B3E10"/>
    <w:rsid w:val="004C0F5D"/>
    <w:rsid w:val="004C375A"/>
    <w:rsid w:val="004C4954"/>
    <w:rsid w:val="004C5767"/>
    <w:rsid w:val="004D1B1E"/>
    <w:rsid w:val="004D5322"/>
    <w:rsid w:val="004D78B0"/>
    <w:rsid w:val="004E5F37"/>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5790F"/>
    <w:rsid w:val="00566BE4"/>
    <w:rsid w:val="0057011C"/>
    <w:rsid w:val="00570D21"/>
    <w:rsid w:val="00571E82"/>
    <w:rsid w:val="00576113"/>
    <w:rsid w:val="00590652"/>
    <w:rsid w:val="0059235F"/>
    <w:rsid w:val="00596936"/>
    <w:rsid w:val="005A2F1E"/>
    <w:rsid w:val="005A4232"/>
    <w:rsid w:val="005C2A9C"/>
    <w:rsid w:val="005C3616"/>
    <w:rsid w:val="005D36B2"/>
    <w:rsid w:val="005D52E7"/>
    <w:rsid w:val="005D78B5"/>
    <w:rsid w:val="005E3572"/>
    <w:rsid w:val="005E45E4"/>
    <w:rsid w:val="005E7FB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15D2"/>
    <w:rsid w:val="00653788"/>
    <w:rsid w:val="0065477F"/>
    <w:rsid w:val="00656896"/>
    <w:rsid w:val="00661656"/>
    <w:rsid w:val="0067509F"/>
    <w:rsid w:val="00677C65"/>
    <w:rsid w:val="00693152"/>
    <w:rsid w:val="00694FAE"/>
    <w:rsid w:val="00696E3A"/>
    <w:rsid w:val="006A0834"/>
    <w:rsid w:val="006A4BBD"/>
    <w:rsid w:val="006A52F1"/>
    <w:rsid w:val="006A5C65"/>
    <w:rsid w:val="006B0C19"/>
    <w:rsid w:val="006B561D"/>
    <w:rsid w:val="006B6D5D"/>
    <w:rsid w:val="006D2330"/>
    <w:rsid w:val="006D500B"/>
    <w:rsid w:val="006E0F8B"/>
    <w:rsid w:val="006E12F7"/>
    <w:rsid w:val="007068A4"/>
    <w:rsid w:val="00706D67"/>
    <w:rsid w:val="00713052"/>
    <w:rsid w:val="00721367"/>
    <w:rsid w:val="007231FA"/>
    <w:rsid w:val="00732C67"/>
    <w:rsid w:val="00734418"/>
    <w:rsid w:val="00737A74"/>
    <w:rsid w:val="00745A29"/>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06E8"/>
    <w:rsid w:val="007F1774"/>
    <w:rsid w:val="007F1D66"/>
    <w:rsid w:val="00811A70"/>
    <w:rsid w:val="0081406E"/>
    <w:rsid w:val="00832211"/>
    <w:rsid w:val="008325F4"/>
    <w:rsid w:val="00832AC8"/>
    <w:rsid w:val="00846A05"/>
    <w:rsid w:val="00846FA4"/>
    <w:rsid w:val="008524BA"/>
    <w:rsid w:val="00852903"/>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30A7"/>
    <w:rsid w:val="00915332"/>
    <w:rsid w:val="009204BB"/>
    <w:rsid w:val="00935918"/>
    <w:rsid w:val="00935EC3"/>
    <w:rsid w:val="00951097"/>
    <w:rsid w:val="00953C1E"/>
    <w:rsid w:val="00957032"/>
    <w:rsid w:val="0095796B"/>
    <w:rsid w:val="0096207E"/>
    <w:rsid w:val="0096210F"/>
    <w:rsid w:val="00962633"/>
    <w:rsid w:val="00963187"/>
    <w:rsid w:val="00963A77"/>
    <w:rsid w:val="00963ACF"/>
    <w:rsid w:val="00963D1C"/>
    <w:rsid w:val="00963F93"/>
    <w:rsid w:val="00964284"/>
    <w:rsid w:val="00965F81"/>
    <w:rsid w:val="0097028A"/>
    <w:rsid w:val="00973BD6"/>
    <w:rsid w:val="00977BE0"/>
    <w:rsid w:val="00984549"/>
    <w:rsid w:val="00985D28"/>
    <w:rsid w:val="00987B51"/>
    <w:rsid w:val="009910CE"/>
    <w:rsid w:val="00991BF0"/>
    <w:rsid w:val="009A0FB1"/>
    <w:rsid w:val="009A1FAC"/>
    <w:rsid w:val="009A3F84"/>
    <w:rsid w:val="009B001A"/>
    <w:rsid w:val="009B1A62"/>
    <w:rsid w:val="009C1ADD"/>
    <w:rsid w:val="009C3CC7"/>
    <w:rsid w:val="009D2057"/>
    <w:rsid w:val="009D3D6C"/>
    <w:rsid w:val="009D5551"/>
    <w:rsid w:val="009D62DB"/>
    <w:rsid w:val="009E0EAF"/>
    <w:rsid w:val="009E3B42"/>
    <w:rsid w:val="009F21BB"/>
    <w:rsid w:val="009F4BDF"/>
    <w:rsid w:val="00A03F43"/>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14CF"/>
    <w:rsid w:val="00AA70AB"/>
    <w:rsid w:val="00AB0B9F"/>
    <w:rsid w:val="00AB1713"/>
    <w:rsid w:val="00AB63BE"/>
    <w:rsid w:val="00AC1EBC"/>
    <w:rsid w:val="00AC2599"/>
    <w:rsid w:val="00AC2DE9"/>
    <w:rsid w:val="00AD2C5F"/>
    <w:rsid w:val="00AD350E"/>
    <w:rsid w:val="00AE1481"/>
    <w:rsid w:val="00AE27F9"/>
    <w:rsid w:val="00AE77DB"/>
    <w:rsid w:val="00AF7453"/>
    <w:rsid w:val="00B00FFF"/>
    <w:rsid w:val="00B06084"/>
    <w:rsid w:val="00B16735"/>
    <w:rsid w:val="00B17EDE"/>
    <w:rsid w:val="00B22585"/>
    <w:rsid w:val="00B33693"/>
    <w:rsid w:val="00B34C53"/>
    <w:rsid w:val="00B37E63"/>
    <w:rsid w:val="00B46EEE"/>
    <w:rsid w:val="00B507A5"/>
    <w:rsid w:val="00B52475"/>
    <w:rsid w:val="00B535DA"/>
    <w:rsid w:val="00B54935"/>
    <w:rsid w:val="00B56DCC"/>
    <w:rsid w:val="00B56F54"/>
    <w:rsid w:val="00B638C2"/>
    <w:rsid w:val="00B71D96"/>
    <w:rsid w:val="00B736F5"/>
    <w:rsid w:val="00B758AB"/>
    <w:rsid w:val="00B76277"/>
    <w:rsid w:val="00B772AB"/>
    <w:rsid w:val="00B80395"/>
    <w:rsid w:val="00B80B56"/>
    <w:rsid w:val="00B86372"/>
    <w:rsid w:val="00BA1C17"/>
    <w:rsid w:val="00BA1D65"/>
    <w:rsid w:val="00BB3B4D"/>
    <w:rsid w:val="00BC237C"/>
    <w:rsid w:val="00BC351E"/>
    <w:rsid w:val="00BC3F77"/>
    <w:rsid w:val="00BC4589"/>
    <w:rsid w:val="00BC5635"/>
    <w:rsid w:val="00BC5675"/>
    <w:rsid w:val="00BD081C"/>
    <w:rsid w:val="00BD2096"/>
    <w:rsid w:val="00BD277B"/>
    <w:rsid w:val="00BD47CA"/>
    <w:rsid w:val="00BD62C7"/>
    <w:rsid w:val="00BE020D"/>
    <w:rsid w:val="00BE354A"/>
    <w:rsid w:val="00BE6FA0"/>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4229"/>
    <w:rsid w:val="00C9465A"/>
    <w:rsid w:val="00C96873"/>
    <w:rsid w:val="00CA1735"/>
    <w:rsid w:val="00CA1A79"/>
    <w:rsid w:val="00CA35C9"/>
    <w:rsid w:val="00CA3C4B"/>
    <w:rsid w:val="00CA7252"/>
    <w:rsid w:val="00CB2C5A"/>
    <w:rsid w:val="00CE0C1C"/>
    <w:rsid w:val="00CE34AF"/>
    <w:rsid w:val="00CF00A4"/>
    <w:rsid w:val="00CF25FB"/>
    <w:rsid w:val="00CF614C"/>
    <w:rsid w:val="00D00EC5"/>
    <w:rsid w:val="00D02F34"/>
    <w:rsid w:val="00D13D87"/>
    <w:rsid w:val="00D16590"/>
    <w:rsid w:val="00D20720"/>
    <w:rsid w:val="00D22BF9"/>
    <w:rsid w:val="00D250D9"/>
    <w:rsid w:val="00D27533"/>
    <w:rsid w:val="00D36CE1"/>
    <w:rsid w:val="00D42DA3"/>
    <w:rsid w:val="00D42F8A"/>
    <w:rsid w:val="00D4546D"/>
    <w:rsid w:val="00D47996"/>
    <w:rsid w:val="00D61118"/>
    <w:rsid w:val="00D614F1"/>
    <w:rsid w:val="00D70D50"/>
    <w:rsid w:val="00D71917"/>
    <w:rsid w:val="00D813EB"/>
    <w:rsid w:val="00DA3A0F"/>
    <w:rsid w:val="00DA4E62"/>
    <w:rsid w:val="00DA6990"/>
    <w:rsid w:val="00DB27BA"/>
    <w:rsid w:val="00DB337A"/>
    <w:rsid w:val="00DC0342"/>
    <w:rsid w:val="00DC51CB"/>
    <w:rsid w:val="00DC6D6F"/>
    <w:rsid w:val="00DD4819"/>
    <w:rsid w:val="00DD4B8A"/>
    <w:rsid w:val="00DD5403"/>
    <w:rsid w:val="00DE1388"/>
    <w:rsid w:val="00DE2182"/>
    <w:rsid w:val="00DE6925"/>
    <w:rsid w:val="00DE7501"/>
    <w:rsid w:val="00DF3146"/>
    <w:rsid w:val="00DF57C3"/>
    <w:rsid w:val="00E008D9"/>
    <w:rsid w:val="00E02FE0"/>
    <w:rsid w:val="00E05A30"/>
    <w:rsid w:val="00E07ABE"/>
    <w:rsid w:val="00E11A3F"/>
    <w:rsid w:val="00E1386E"/>
    <w:rsid w:val="00E2369B"/>
    <w:rsid w:val="00E23EC0"/>
    <w:rsid w:val="00E354AA"/>
    <w:rsid w:val="00E3665E"/>
    <w:rsid w:val="00E43D54"/>
    <w:rsid w:val="00E442FB"/>
    <w:rsid w:val="00E529DB"/>
    <w:rsid w:val="00E53A5E"/>
    <w:rsid w:val="00E6466A"/>
    <w:rsid w:val="00E72221"/>
    <w:rsid w:val="00E8053A"/>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1BF5"/>
    <w:rsid w:val="00EF6F8B"/>
    <w:rsid w:val="00F03898"/>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2B3F"/>
    <w:rsid w:val="00FA4837"/>
    <w:rsid w:val="00FB1D33"/>
    <w:rsid w:val="00FB2E09"/>
    <w:rsid w:val="00FB5E96"/>
    <w:rsid w:val="00FC05A0"/>
    <w:rsid w:val="00FC6758"/>
    <w:rsid w:val="00FD34EA"/>
    <w:rsid w:val="00FE0865"/>
    <w:rsid w:val="00FE3F3E"/>
    <w:rsid w:val="00FE4D52"/>
    <w:rsid w:val="00FE5AEE"/>
    <w:rsid w:val="00FE5FF1"/>
    <w:rsid w:val="00FF1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0A7C87"/>
    <w:rPr>
      <w:sz w:val="16"/>
      <w:szCs w:val="16"/>
    </w:rPr>
  </w:style>
  <w:style w:type="paragraph" w:styleId="CommentSubject">
    <w:name w:val="annotation subject"/>
    <w:basedOn w:val="CommentText"/>
    <w:next w:val="CommentText"/>
    <w:link w:val="CommentSubjectChar"/>
    <w:uiPriority w:val="99"/>
    <w:semiHidden/>
    <w:unhideWhenUsed/>
    <w:rsid w:val="000A7C87"/>
    <w:rPr>
      <w:b/>
      <w:bCs/>
    </w:rPr>
  </w:style>
  <w:style w:type="character" w:customStyle="1" w:styleId="CommentTextChar">
    <w:name w:val="Comment Text Char"/>
    <w:basedOn w:val="DefaultParagraphFont"/>
    <w:link w:val="CommentText"/>
    <w:semiHidden/>
    <w:rsid w:val="000A7C87"/>
    <w:rPr>
      <w:rFonts w:ascii="Arial" w:hAnsi="Arial"/>
    </w:rPr>
  </w:style>
  <w:style w:type="character" w:customStyle="1" w:styleId="CommentSubjectChar">
    <w:name w:val="Comment Subject Char"/>
    <w:basedOn w:val="CommentTextChar"/>
    <w:link w:val="CommentSubject"/>
    <w:uiPriority w:val="99"/>
    <w:semiHidden/>
    <w:rsid w:val="000A7C8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FE8C0B-7BC2-4090-B96C-718E65A25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openxmlformats.org/package/2006/metadata/core-properties"/>
    <ds:schemaRef ds:uri="http://schemas.microsoft.com/office/2006/documentManagement/types"/>
    <ds:schemaRef ds:uri="http://purl.org/dc/elements/1.1/"/>
    <ds:schemaRef ds:uri="aba01ddc-ae9a-4c9e-819c-7140b4239cde"/>
    <ds:schemaRef ds:uri="http://purl.org/dc/dcmitype/"/>
    <ds:schemaRef ds:uri="http://schemas.microsoft.com/sharepoint/v3"/>
    <ds:schemaRef ds:uri="http://www.w3.org/XML/1998/namespace"/>
    <ds:schemaRef ds:uri="http://schemas.microsoft.com/office/infopath/2007/PartnerControls"/>
    <ds:schemaRef ds:uri="f5eefb00-5952-4f7e-8cf8-96f81cfadd01"/>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83</TotalTime>
  <Pages>3</Pages>
  <Words>1222</Words>
  <Characters>6971</Characters>
  <Application>Microsoft Office Word</Application>
  <DocSecurity>10</DocSecurity>
  <Lines>58</Lines>
  <Paragraphs>16</Paragraphs>
  <ScaleCrop>false</ScaleCrop>
  <HeadingPairs>
    <vt:vector size="2" baseType="variant">
      <vt:variant>
        <vt:lpstr>Title</vt:lpstr>
      </vt:variant>
      <vt:variant>
        <vt:i4>1</vt:i4>
      </vt:variant>
    </vt:vector>
  </HeadingPairs>
  <TitlesOfParts>
    <vt:vector size="1" baseType="lpstr">
      <vt:lpstr>Transthyretin Amyloidosis Agents PDL Edit</vt:lpstr>
    </vt:vector>
  </TitlesOfParts>
  <Company>DSS</Company>
  <LinksUpToDate>false</LinksUpToDate>
  <CharactersWithSpaces>8177</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Transthyretin Amyloidosis Agents PDL Edit</dc:title>
  <dc:creator>DMS</dc:creator>
  <cp:lastModifiedBy>Herzing, Jamie</cp:lastModifiedBy>
  <cp:revision>70</cp:revision>
  <cp:lastPrinted>2018-10-31T20:17:00Z</cp:lastPrinted>
  <dcterms:created xsi:type="dcterms:W3CDTF">2025-09-19T16:48:00Z</dcterms:created>
  <dcterms:modified xsi:type="dcterms:W3CDTF">2026-10-09T20:56:00Z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4b29a220791efb6d742491423d983515448f33995f74b51d61f788f3e0d84090</vt:lpwstr>
  </property>
</Properties>
</file>